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7AA41">
      <w:pPr>
        <w:jc w:val="center"/>
        <w:rPr>
          <w:rFonts w:hint="eastAsia" w:ascii="仿宋" w:hAnsi="仿宋" w:eastAsia="仿宋" w:cstheme="minorBidi"/>
          <w:b/>
          <w:bCs/>
          <w:sz w:val="32"/>
          <w:szCs w:val="32"/>
        </w:rPr>
      </w:pPr>
      <w:r>
        <w:rPr>
          <w:rFonts w:hint="eastAsia" w:ascii="仿宋" w:hAnsi="仿宋" w:eastAsia="仿宋" w:cstheme="minorBidi"/>
          <w:b/>
          <w:bCs/>
          <w:sz w:val="32"/>
          <w:szCs w:val="32"/>
        </w:rPr>
        <w:t>中方县住房和城乡建设局202</w:t>
      </w:r>
      <w:r>
        <w:rPr>
          <w:rFonts w:hint="eastAsia" w:ascii="仿宋" w:hAnsi="仿宋" w:eastAsia="仿宋" w:cstheme="minorBidi"/>
          <w:b/>
          <w:bCs/>
          <w:sz w:val="32"/>
          <w:szCs w:val="32"/>
          <w:lang w:val="en-US" w:eastAsia="zh-CN"/>
        </w:rPr>
        <w:t>2</w:t>
      </w:r>
      <w:r>
        <w:rPr>
          <w:rFonts w:hint="eastAsia" w:ascii="仿宋" w:hAnsi="仿宋" w:eastAsia="仿宋" w:cstheme="minorBidi"/>
          <w:b/>
          <w:bCs/>
          <w:sz w:val="32"/>
          <w:szCs w:val="32"/>
        </w:rPr>
        <w:t>年</w:t>
      </w:r>
      <w:r>
        <w:rPr>
          <w:rFonts w:hint="eastAsia" w:ascii="仿宋" w:hAnsi="仿宋" w:eastAsia="仿宋" w:cstheme="minorBidi"/>
          <w:b/>
          <w:bCs/>
          <w:sz w:val="32"/>
          <w:szCs w:val="32"/>
          <w:lang w:eastAsia="zh-CN"/>
        </w:rPr>
        <w:t>度</w:t>
      </w:r>
      <w:r>
        <w:rPr>
          <w:rFonts w:hint="eastAsia" w:ascii="仿宋" w:hAnsi="仿宋" w:eastAsia="仿宋" w:cstheme="minorBidi"/>
          <w:b/>
          <w:bCs/>
          <w:sz w:val="32"/>
          <w:szCs w:val="32"/>
        </w:rPr>
        <w:t>中方县</w:t>
      </w:r>
      <w:r>
        <w:rPr>
          <w:rFonts w:hint="eastAsia" w:ascii="仿宋" w:hAnsi="仿宋" w:eastAsia="仿宋" w:cstheme="minorBidi"/>
          <w:b/>
          <w:bCs/>
          <w:sz w:val="32"/>
          <w:szCs w:val="32"/>
          <w:lang w:eastAsia="zh-CN"/>
        </w:rPr>
        <w:t>乡</w:t>
      </w:r>
      <w:r>
        <w:rPr>
          <w:rFonts w:hint="eastAsia" w:ascii="仿宋" w:hAnsi="仿宋" w:eastAsia="仿宋" w:cstheme="minorBidi"/>
          <w:b/>
          <w:bCs/>
          <w:sz w:val="32"/>
          <w:szCs w:val="32"/>
        </w:rPr>
        <w:t>镇污水处理厂及配套管网工程项目支出绩效自评报告</w:t>
      </w:r>
    </w:p>
    <w:p w14:paraId="3F9A1753">
      <w:pPr>
        <w:ind w:firstLine="620" w:firstLineChars="200"/>
        <w:rPr>
          <w:rFonts w:hint="eastAsia" w:ascii="仿宋_GB2312" w:hAnsi="微软雅黑" w:eastAsia="仿宋_GB2312" w:cs="仿宋_GB2312"/>
          <w:color w:val="4C4C4C"/>
          <w:kern w:val="0"/>
          <w:sz w:val="31"/>
          <w:szCs w:val="31"/>
          <w:shd w:val="clear" w:color="auto" w:fill="FFFFFF"/>
        </w:rPr>
      </w:pPr>
    </w:p>
    <w:p w14:paraId="29BC4F29">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一、项目基本情况</w:t>
      </w:r>
    </w:p>
    <w:p w14:paraId="5ABC6CC0">
      <w:pPr>
        <w:spacing w:line="520" w:lineRule="exact"/>
        <w:ind w:firstLine="620" w:firstLineChars="200"/>
        <w:rPr>
          <w:rFonts w:hint="eastAsia" w:ascii="仿宋" w:hAnsi="仿宋" w:eastAsia="仿宋" w:cs="仿宋"/>
          <w:bCs/>
          <w:sz w:val="32"/>
          <w:szCs w:val="32"/>
          <w:lang w:val="en-US" w:eastAsia="zh-CN"/>
        </w:rPr>
      </w:pPr>
      <w:r>
        <w:rPr>
          <w:rFonts w:hint="eastAsia" w:ascii="仿宋_GB2312" w:hAnsi="微软雅黑" w:eastAsia="仿宋_GB2312" w:cs="仿宋_GB2312"/>
          <w:color w:val="4C4C4C"/>
          <w:kern w:val="0"/>
          <w:sz w:val="31"/>
          <w:szCs w:val="31"/>
          <w:shd w:val="clear" w:color="auto" w:fill="FFFFFF"/>
          <w:lang w:val="en-US" w:eastAsia="zh-CN" w:bidi="ar-SA"/>
        </w:rPr>
        <w:t>（</w:t>
      </w:r>
      <w:r>
        <w:rPr>
          <w:rFonts w:hint="eastAsia" w:ascii="仿宋" w:hAnsi="仿宋" w:eastAsia="仿宋" w:cs="仿宋"/>
          <w:bCs/>
          <w:sz w:val="32"/>
          <w:szCs w:val="32"/>
          <w:lang w:val="en-US" w:eastAsia="zh-CN"/>
        </w:rPr>
        <w:t>一）项目概况</w:t>
      </w:r>
    </w:p>
    <w:p w14:paraId="4176F302">
      <w:pPr>
        <w:spacing w:line="520" w:lineRule="exact"/>
        <w:ind w:firstLine="640" w:firstLineChars="200"/>
        <w:rPr>
          <w:rFonts w:hint="eastAsia" w:ascii="仿宋" w:hAnsi="仿宋" w:eastAsia="仿宋" w:cs="仿宋"/>
          <w:bCs/>
          <w:sz w:val="32"/>
          <w:szCs w:val="32"/>
          <w:lang w:eastAsia="zh-CN"/>
        </w:rPr>
      </w:pPr>
      <w:r>
        <w:rPr>
          <w:rFonts w:hint="eastAsia" w:ascii="仿宋" w:hAnsi="仿宋" w:eastAsia="仿宋" w:cs="仿宋"/>
          <w:bCs/>
          <w:sz w:val="32"/>
          <w:szCs w:val="32"/>
        </w:rPr>
        <w:t>根据《湖南省人民政府乡镇污水处理设施建设四年行动实施方案（2019</w:t>
      </w:r>
      <w:r>
        <w:rPr>
          <w:rFonts w:hint="eastAsia" w:ascii="仿宋" w:hAnsi="仿宋" w:eastAsia="仿宋" w:cs="仿宋"/>
          <w:bCs/>
          <w:sz w:val="32"/>
          <w:szCs w:val="32"/>
          <w:lang w:val="en-US" w:eastAsia="zh-CN"/>
        </w:rPr>
        <w:t>-</w:t>
      </w:r>
      <w:r>
        <w:rPr>
          <w:rFonts w:hint="eastAsia" w:ascii="仿宋" w:hAnsi="仿宋" w:eastAsia="仿宋" w:cs="仿宋"/>
          <w:bCs/>
          <w:sz w:val="32"/>
          <w:szCs w:val="32"/>
        </w:rPr>
        <w:t>2022）》（湘政办发[2019]43号）文件要求和省住建厅《关于核准确认2019</w:t>
      </w:r>
      <w:r>
        <w:rPr>
          <w:rFonts w:hint="eastAsia" w:ascii="仿宋" w:hAnsi="仿宋" w:eastAsia="仿宋" w:cs="仿宋"/>
          <w:bCs/>
          <w:sz w:val="32"/>
          <w:szCs w:val="32"/>
          <w:lang w:val="en-US" w:eastAsia="zh-CN"/>
        </w:rPr>
        <w:t>-</w:t>
      </w:r>
      <w:r>
        <w:rPr>
          <w:rFonts w:hint="eastAsia" w:ascii="仿宋" w:hAnsi="仿宋" w:eastAsia="仿宋" w:cs="仿宋"/>
          <w:bCs/>
          <w:sz w:val="32"/>
          <w:szCs w:val="32"/>
        </w:rPr>
        <w:t>2022年乡镇污水处理设施任务的通知》精神，202</w:t>
      </w:r>
      <w:r>
        <w:rPr>
          <w:rFonts w:hint="eastAsia" w:ascii="仿宋" w:hAnsi="仿宋" w:eastAsia="仿宋" w:cs="仿宋"/>
          <w:bCs/>
          <w:sz w:val="32"/>
          <w:szCs w:val="32"/>
          <w:lang w:val="en-US" w:eastAsia="zh-CN"/>
        </w:rPr>
        <w:t>2</w:t>
      </w:r>
      <w:r>
        <w:rPr>
          <w:rFonts w:hint="eastAsia" w:ascii="仿宋" w:hAnsi="仿宋" w:eastAsia="仿宋" w:cs="仿宋"/>
          <w:bCs/>
          <w:sz w:val="32"/>
          <w:szCs w:val="32"/>
        </w:rPr>
        <w:t>年我县</w:t>
      </w:r>
      <w:r>
        <w:rPr>
          <w:rFonts w:hint="eastAsia" w:ascii="仿宋" w:hAnsi="仿宋" w:eastAsia="仿宋" w:cs="仿宋"/>
          <w:bCs/>
          <w:sz w:val="32"/>
          <w:szCs w:val="32"/>
          <w:lang w:eastAsia="zh-CN"/>
        </w:rPr>
        <w:t>新建</w:t>
      </w:r>
      <w:r>
        <w:rPr>
          <w:rFonts w:hint="eastAsia" w:ascii="仿宋" w:hAnsi="仿宋" w:eastAsia="仿宋" w:cs="仿宋"/>
          <w:bCs/>
          <w:sz w:val="32"/>
          <w:szCs w:val="32"/>
        </w:rPr>
        <w:t>、</w:t>
      </w:r>
      <w:r>
        <w:rPr>
          <w:rFonts w:hint="eastAsia" w:ascii="仿宋" w:hAnsi="仿宋" w:eastAsia="仿宋" w:cs="仿宋"/>
          <w:bCs/>
          <w:sz w:val="32"/>
          <w:szCs w:val="32"/>
          <w:lang w:eastAsia="zh-CN"/>
        </w:rPr>
        <w:t>袁家、接龙</w:t>
      </w:r>
      <w:r>
        <w:rPr>
          <w:rFonts w:hint="eastAsia" w:ascii="仿宋" w:hAnsi="仿宋" w:eastAsia="仿宋" w:cs="仿宋"/>
          <w:bCs/>
          <w:sz w:val="32"/>
          <w:szCs w:val="32"/>
        </w:rPr>
        <w:t>和</w:t>
      </w:r>
      <w:r>
        <w:rPr>
          <w:rFonts w:hint="eastAsia" w:ascii="仿宋" w:hAnsi="仿宋" w:eastAsia="仿宋" w:cs="仿宋"/>
          <w:bCs/>
          <w:sz w:val="32"/>
          <w:szCs w:val="32"/>
          <w:lang w:eastAsia="zh-CN"/>
        </w:rPr>
        <w:t>铁坡</w:t>
      </w:r>
      <w:r>
        <w:rPr>
          <w:rFonts w:hint="eastAsia" w:ascii="仿宋" w:hAnsi="仿宋" w:eastAsia="仿宋" w:cs="仿宋"/>
          <w:bCs/>
          <w:sz w:val="32"/>
          <w:szCs w:val="32"/>
        </w:rPr>
        <w:t>镇污水处理设施及配套管网工程建设纳入污染防治“夏季攻势”，202</w:t>
      </w:r>
      <w:r>
        <w:rPr>
          <w:rFonts w:hint="eastAsia" w:ascii="仿宋" w:hAnsi="仿宋" w:eastAsia="仿宋" w:cs="仿宋"/>
          <w:bCs/>
          <w:sz w:val="32"/>
          <w:szCs w:val="32"/>
          <w:lang w:val="en-US" w:eastAsia="zh-CN"/>
        </w:rPr>
        <w:t>2</w:t>
      </w:r>
      <w:r>
        <w:rPr>
          <w:rFonts w:hint="eastAsia" w:ascii="仿宋" w:hAnsi="仿宋" w:eastAsia="仿宋" w:cs="仿宋"/>
          <w:bCs/>
          <w:sz w:val="32"/>
          <w:szCs w:val="32"/>
        </w:rPr>
        <w:t>年12月10日前建成通水。</w:t>
      </w:r>
      <w:r>
        <w:rPr>
          <w:rFonts w:hint="eastAsia" w:ascii="仿宋" w:hAnsi="仿宋" w:eastAsia="仿宋" w:cs="仿宋"/>
          <w:bCs/>
          <w:sz w:val="32"/>
          <w:szCs w:val="32"/>
          <w:lang w:eastAsia="zh-CN"/>
        </w:rPr>
        <w:t>基本情况：</w:t>
      </w:r>
    </w:p>
    <w:p w14:paraId="2FA39755">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新建镇污水处理设施及配套管网工程：选址新建镇派出所对面，建设用地面积867.8m2，两处高效好氧模块各占地约30m2；建设规模处理厂300t/d，模块各20t/d；配套管道管网1.6km；土建部分造价600.8965万元，其中配套管网363.2876万元，厂区部分237.6088万元。现已完成管网长度700米，厂站已完成，设备已进场安装，准备进行围墙等附属施工，现正在试运营。</w:t>
      </w:r>
    </w:p>
    <w:p w14:paraId="42BC3205">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接龙镇污水处理设施及配套管网工程：选址接龙加油站旁边，建设用地面积488.18m2，其中构筑物占地面积171.17m2</w:t>
      </w:r>
      <w:bookmarkStart w:id="0" w:name="_GoBack"/>
      <w:bookmarkEnd w:id="0"/>
      <w:r>
        <w:rPr>
          <w:rFonts w:hint="eastAsia" w:ascii="仿宋" w:hAnsi="仿宋" w:eastAsia="仿宋" w:cs="仿宋"/>
          <w:bCs/>
          <w:sz w:val="32"/>
          <w:szCs w:val="32"/>
        </w:rPr>
        <w:t>；建设规模100t/d，配套管道主管网1.88km；土建部分605.9961万元，其中配套管网426.2116万元，厂区部分179.7845万元。现已完成管网长度1700米，主体结构已完工，设备已进场安装，准备进行围墙等附属施工，现正在试运营。</w:t>
      </w:r>
    </w:p>
    <w:p w14:paraId="0BBEB0C9">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铁坡镇污水处理设施及配套管网工程：位于铁坡往锦溪村路边，建设用地面积841.6m2，污水处理厂构筑物占地面积：167.5m2；处理厂建设规模100t/d，污水模块规模30t/d，配套管道主管网0.32km；土建部分造价291.6319万元，其中配套管网139.8302万元，厂区部分151.8017万元。现已完成管网长度180米，主体结构已完工，设备已进场安装，准备进行围墙等附属施工，现正在试运营。</w:t>
      </w:r>
    </w:p>
    <w:p w14:paraId="4BF27D1A">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袁家镇污水处理设施及配套管网工程：位于袁家客运一体化站场对面，建设用地面积1035.9m2，构筑物面积169.3m2；建设规模100t/d,配套管网主管网1935m；土建部分造价610.9902万元，其中配套管网431.6047万元，厂区部分179.3855万元。现已完成管网长度1800米，主体结构已完成，现正在试运营。</w:t>
      </w:r>
    </w:p>
    <w:p w14:paraId="0758DA27">
      <w:pPr>
        <w:spacing w:line="520" w:lineRule="exact"/>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rPr>
        <w:t>202</w:t>
      </w:r>
      <w:r>
        <w:rPr>
          <w:rFonts w:hint="eastAsia" w:ascii="仿宋" w:hAnsi="仿宋" w:eastAsia="仿宋" w:cs="仿宋"/>
          <w:bCs/>
          <w:sz w:val="32"/>
          <w:szCs w:val="32"/>
          <w:lang w:val="en-US" w:eastAsia="zh-CN"/>
        </w:rPr>
        <w:t>2</w:t>
      </w:r>
      <w:r>
        <w:rPr>
          <w:rFonts w:hint="eastAsia" w:ascii="仿宋" w:hAnsi="仿宋" w:eastAsia="仿宋" w:cs="仿宋"/>
          <w:bCs/>
          <w:sz w:val="32"/>
          <w:szCs w:val="32"/>
        </w:rPr>
        <w:t>年12月10日完成了</w:t>
      </w:r>
      <w:r>
        <w:rPr>
          <w:rFonts w:hint="eastAsia" w:ascii="仿宋" w:hAnsi="仿宋" w:eastAsia="仿宋" w:cs="仿宋"/>
          <w:bCs/>
          <w:sz w:val="32"/>
          <w:szCs w:val="32"/>
          <w:lang w:eastAsia="zh-CN"/>
        </w:rPr>
        <w:t>四</w:t>
      </w:r>
      <w:r>
        <w:rPr>
          <w:rFonts w:hint="eastAsia" w:ascii="仿宋" w:hAnsi="仿宋" w:eastAsia="仿宋" w:cs="仿宋"/>
          <w:bCs/>
          <w:sz w:val="32"/>
          <w:szCs w:val="32"/>
        </w:rPr>
        <w:t>个污水处理设施及配套管网工程项目建设，12月10日完成了</w:t>
      </w:r>
      <w:r>
        <w:rPr>
          <w:rFonts w:hint="eastAsia" w:ascii="仿宋" w:hAnsi="仿宋" w:eastAsia="仿宋" w:cs="仿宋"/>
          <w:bCs/>
          <w:sz w:val="32"/>
          <w:szCs w:val="32"/>
          <w:lang w:eastAsia="zh-CN"/>
        </w:rPr>
        <w:t>四</w:t>
      </w:r>
      <w:r>
        <w:rPr>
          <w:rFonts w:hint="eastAsia" w:ascii="仿宋" w:hAnsi="仿宋" w:eastAsia="仿宋" w:cs="仿宋"/>
          <w:bCs/>
          <w:sz w:val="32"/>
          <w:szCs w:val="32"/>
        </w:rPr>
        <w:t>个污水处理一体化设备的安装和调试工作，并进行了试运营。</w:t>
      </w:r>
      <w:r>
        <w:rPr>
          <w:rFonts w:hint="eastAsia" w:ascii="仿宋" w:hAnsi="仿宋" w:eastAsia="仿宋" w:cs="仿宋"/>
          <w:bCs/>
          <w:sz w:val="32"/>
          <w:szCs w:val="32"/>
          <w:lang w:val="en-US" w:eastAsia="zh-CN"/>
        </w:rPr>
        <w:t>2022年财政拨付资金2677.99万元，按照合同支付项目进度款2677.99万元。</w:t>
      </w:r>
    </w:p>
    <w:p w14:paraId="7FDF1B31">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 xml:space="preserve">   （二）项目绩效目标</w:t>
      </w:r>
    </w:p>
    <w:p w14:paraId="7980040F">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总体目标：农村人居环境整治三年行动有利于加快补齐农村人居环境短板，打好乡村振兴第一仗，提升农村人居环境水平和生态质量，逐步解决城乡发展不平衡、农村发展不充分的矛盾，增强农民群众获得感和幸福感。</w:t>
      </w:r>
    </w:p>
    <w:p w14:paraId="41DEA42F">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2、阶段性目标：完成202</w:t>
      </w:r>
      <w:r>
        <w:rPr>
          <w:rFonts w:hint="eastAsia" w:ascii="仿宋" w:hAnsi="仿宋" w:eastAsia="仿宋" w:cs="仿宋"/>
          <w:bCs/>
          <w:sz w:val="32"/>
          <w:szCs w:val="32"/>
          <w:lang w:val="en-US" w:eastAsia="zh-CN"/>
        </w:rPr>
        <w:t>2</w:t>
      </w:r>
      <w:r>
        <w:rPr>
          <w:rFonts w:hint="eastAsia" w:ascii="仿宋" w:hAnsi="仿宋" w:eastAsia="仿宋" w:cs="仿宋"/>
          <w:bCs/>
          <w:sz w:val="32"/>
          <w:szCs w:val="32"/>
        </w:rPr>
        <w:t>年度桐木镇、花桥和新路河镇污水处理设施及配套管网工程项目建设，完成桐木镇、花桥和新路河镇污水处理一体化设备采购，并投入运营。</w:t>
      </w:r>
    </w:p>
    <w:p w14:paraId="4C9BAC87">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二、绩效评价工作开展情况</w:t>
      </w:r>
    </w:p>
    <w:p w14:paraId="1A2F9F2E">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（一）绩效评价目的、对象和范围</w:t>
      </w:r>
    </w:p>
    <w:p w14:paraId="60839002">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评价目的：加强和规范资金管理，提高资金使用效益；建立健全绩效评价机制，更好实现资金管理目标。</w:t>
      </w:r>
    </w:p>
    <w:p w14:paraId="48E9E9A3">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本次绩效评价的对象和范围：2022年中方县新建、袁家、接龙和铁坡镇污水处理设施及配套管网工程建设单位、新建、袁家、接龙和铁坡镇污水处理一体化设备采购单位和主管单位。</w:t>
      </w:r>
    </w:p>
    <w:p w14:paraId="294BB433">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（二）绩效评价原则、评价指标体系、评价方法、评价标准</w:t>
      </w:r>
    </w:p>
    <w:p w14:paraId="0D0CA81E">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绩效评价原则：（1）客观、科学、公正的原则；（2）综合绩效评价的原则；（3）定量分析与定性分析的原则；（4）统筹规划、稳步推进的原则；（5）财政支出绩效评价与财政支出管理相结合的原则；（6）财政支出绩效评价贯彻事前、事中、事后的原则。</w:t>
      </w:r>
    </w:p>
    <w:p w14:paraId="0C722E70">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2、评价方法：因素分析法。</w:t>
      </w:r>
    </w:p>
    <w:p w14:paraId="0CBC258F">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3、评价指标体系详见附表。</w:t>
      </w:r>
    </w:p>
    <w:p w14:paraId="7F9CC8C3">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   （三）绩效评价工作过程</w:t>
      </w:r>
    </w:p>
    <w:p w14:paraId="3EF54756">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 xml:space="preserve">  2023年4月15日，成立了由本局潘科夫副局长主管，财务室牵头，城乡和人防建设管理股、建筑和人防工程管理股、科技与设计管理股、乡村建设事业服务中心、房地产监管股等股室参与的绩效自评工作领导小组。根据预算管理和绩效评价相关制度和文件，制定本次绩效评价工作的自评工作方案，向参与本次评价的股室下达绩效通知书，各股到项目现场实地核查、查询填报数据的真实性、准确性、完整性，再根据设定的评价指标、评价方法，并辅以问卷调查、工作座谈等方式进行定量和定性分析，得出最终结果。由各业务股室填写&lt;&lt;项目支出绩效自评表&gt;&gt;进行自评。然后再运用科学、合理的绩效评价指标、评价标准和方法，组织开展绩效评价，撰写本项目的绩效评价报告。</w:t>
      </w:r>
    </w:p>
    <w:p w14:paraId="1A798A7F">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630"/>
        <w:textAlignment w:val="auto"/>
        <w:rPr>
          <w:rFonts w:hint="eastAsia" w:ascii="Times New Roman" w:hAnsi="Times New Roman" w:eastAsia="楷体" w:cs="Times New Roman"/>
          <w:b/>
          <w:kern w:val="2"/>
          <w:sz w:val="32"/>
          <w:szCs w:val="32"/>
          <w:lang w:val="en-US" w:eastAsia="zh-CN" w:bidi="ar-SA"/>
        </w:rPr>
      </w:pPr>
      <w:r>
        <w:rPr>
          <w:rStyle w:val="10"/>
          <w:rFonts w:hint="eastAsia" w:ascii="楷体" w:hAnsi="楷体" w:eastAsia="楷体" w:cs="楷体"/>
          <w:color w:val="4C4C4C"/>
          <w:sz w:val="31"/>
          <w:szCs w:val="31"/>
          <w:shd w:val="clear" w:color="auto" w:fill="FFFFFF"/>
        </w:rPr>
        <w:t>  </w:t>
      </w:r>
      <w:r>
        <w:rPr>
          <w:rFonts w:hint="eastAsia" w:ascii="Times New Roman" w:hAnsi="Times New Roman" w:eastAsia="楷体" w:cs="Times New Roman"/>
          <w:b/>
          <w:kern w:val="2"/>
          <w:sz w:val="32"/>
          <w:szCs w:val="32"/>
          <w:lang w:val="en-US" w:eastAsia="zh-CN" w:bidi="ar-SA"/>
        </w:rPr>
        <w:t> 三、综合评价情况及评价结论</w:t>
      </w:r>
    </w:p>
    <w:p w14:paraId="53CD5D3E">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（一）综合评价情况</w:t>
      </w:r>
    </w:p>
    <w:p w14:paraId="15A0106E">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项目做到了管理规范，操作阳光透明，运行有序高效，服务态度优质，群众满意度高。</w:t>
      </w:r>
    </w:p>
    <w:p w14:paraId="44C4B90A">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在资金管理上，严格按照规定，实行专账管理，确保了污水处理设施及配套管网工程项目及污水处理一体化设备采购项目资金及时支付到位。</w:t>
      </w:r>
    </w:p>
    <w:p w14:paraId="79136560">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（二）评价结论</w:t>
      </w:r>
    </w:p>
    <w:p w14:paraId="606F8F59">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度新建、袁家、接龙和铁坡镇污水处理设施及配套管网工程项目及新建、袁家、接龙和铁坡镇污水处理一体化设备采购项目专项资金，达到了绩效目标要求，确保了我县新建、袁家、接龙和铁坡镇污水处理的减量化、无害化和资源化工作，全面提升了镇村环境卫生品位。项目管理规范，资金管理安全，资金拨付及时到位，社会效益比较显著，群众满意率高。</w:t>
      </w:r>
    </w:p>
    <w:p w14:paraId="6A28CBDF">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按照《2022年新建、袁家、接龙和铁坡镇污水处理设施及配套管网工程项目及新建、袁家、接龙和铁坡镇污水处理一体化设备采购项目支出绩效评价指标体系》，评价工作组采用因素分析法对该项目支出绩效进行评价的评分分值为92分。</w:t>
      </w:r>
    </w:p>
    <w:p w14:paraId="0F001DE3">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630"/>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 四、绩效评价指标分析情况</w:t>
      </w:r>
    </w:p>
    <w:p w14:paraId="17A41ACD">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（一）项目决策情况：</w:t>
      </w:r>
    </w:p>
    <w:p w14:paraId="4E6F54E1">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项目立项：中方县第五届人民政府第44次常务会议同意实施新建、袁家、接龙和铁坡镇污水处理设施项目，由副县长周怀志牵头，县住建局为牵头部门，县财政局、县农业农村局、县审计局、新建、袁家、接龙和铁坡镇等相关部门配合。该项目立项依据充分、程序规范。</w:t>
      </w:r>
    </w:p>
    <w:p w14:paraId="50E547C1">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 xml:space="preserve"> 2、绩效目标：该项目设立了科学合理的绩效指标体系，一级指标三个，二级指标9个，三级指标13个，指标清晰、细化、可衡量，能反映和考核项目绩效目标的明确化情况。</w:t>
      </w:r>
    </w:p>
    <w:p w14:paraId="13E50560">
      <w:pPr>
        <w:spacing w:line="520" w:lineRule="exact"/>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3、资金投入：项目资金根据县财政预算，结合项目投资实际情况，投资额与工作任务相匹配，资金分配额度合理，具有一定的科学性和合理性。项目工程中标金额2677.99万元，资金全部由县财政予以保障。</w:t>
      </w:r>
    </w:p>
    <w:p w14:paraId="55CD14B3">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（二）项目过程情况分析</w:t>
      </w:r>
    </w:p>
    <w:p w14:paraId="3295FD32">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１、项目资金到位情况分析</w:t>
      </w:r>
    </w:p>
    <w:p w14:paraId="612CD019">
      <w:pPr>
        <w:spacing w:line="520" w:lineRule="exact"/>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2022年中财预［2021］74号预算批复公共财政预算拨款1000万元。中财农指[2022]0081号下达指标107 万元，中财预基指[2021]0340号下达指标43.8543万元、中财预基指[2021]0374号下达指标1748.0463万元。</w:t>
      </w:r>
    </w:p>
    <w:p w14:paraId="53A7FB24">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2、项目资金使用情况分析</w:t>
      </w:r>
    </w:p>
    <w:p w14:paraId="5568F401">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2022年度按照合同累计支付进度款1280万元。</w:t>
      </w:r>
      <w:r>
        <w:rPr>
          <w:rFonts w:hint="eastAsia" w:ascii="仿宋" w:hAnsi="仿宋" w:eastAsia="仿宋" w:cs="仿宋"/>
          <w:bCs/>
          <w:sz w:val="32"/>
          <w:szCs w:val="32"/>
          <w:lang w:val="en-US" w:eastAsia="zh-CN"/>
        </w:rPr>
        <w:tab/>
      </w:r>
    </w:p>
    <w:p w14:paraId="7D5D0A46">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3、项目资金管理情况分析</w:t>
      </w:r>
    </w:p>
    <w:p w14:paraId="2004342B">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中方县新建、袁家、接龙和铁坡镇污水处理设施及配套管网工程项目及新建、袁家、接龙和铁坡镇污水处理一体化设备采购项目项目资金及时足额拨付到位，没有出现违规使用资金行为，使项目的实施得到了资金的保障。资金的拨付有完整的审批程序和手续，建立了项目财务管理制度，即专户管理、项目资金预拔和清算、财务公开公示、实行质量保证金等四项制度。所有项目开支通过国库集中支付，施工单位领款时必须提供工程施工合同、工程结算单、发票等，财务手续齐全。</w:t>
      </w:r>
    </w:p>
    <w:p w14:paraId="108B3F9A">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（三）项目产出情况分析</w:t>
      </w:r>
    </w:p>
    <w:p w14:paraId="791DFA30">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中方县新建、袁家、接龙和铁坡镇污水处理设施及配套管网工程项目及新建、袁家、接龙和铁坡镇污水处理一体化设备采购项目，严格按照确定的服务内容开展项目服务工作，结算至12月31日，经我局乡村办等相关部门考核，验收合格。项目考核实施情况分析如下：</w:t>
      </w:r>
    </w:p>
    <w:p w14:paraId="450E5F0C">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1、污水处理：包括定时人员对设备运行进行观察、定期台账填写、定期进行出水口水质检测，以上五项分值共50分，考核评分45分，合格。</w:t>
      </w:r>
    </w:p>
    <w:p w14:paraId="45171609">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2、污水厂保洁及管理：包括污水厂内无垃圾整洁、人员管理共4项，共6分。该项通过实地检查与查阅资料方式，考核得分为5分，合格。</w:t>
      </w:r>
    </w:p>
    <w:p w14:paraId="7A28D1E7">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3、综合评价：分三大项七小项，分值44分，经考核共得分40分，合格。</w:t>
      </w:r>
    </w:p>
    <w:p w14:paraId="63ED1B57">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（四）项目效益情况分析</w:t>
      </w:r>
    </w:p>
    <w:p w14:paraId="1797BC62">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1、项目经济性分析</w:t>
      </w:r>
    </w:p>
    <w:p w14:paraId="526C507C">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项目成本（预算）使用合理，无超支。</w:t>
      </w:r>
    </w:p>
    <w:p w14:paraId="1395E8F8">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2、项目的效率性分析</w:t>
      </w:r>
    </w:p>
    <w:p w14:paraId="32A07C3C">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项目的实施进度。2022年12月10日完成了新建、袁家、接龙和铁坡镇污水处理设施及配套管网工程项目建设，12月30日完成了新建、袁家、接龙和铁坡镇污水处理一体化设备的安装和调试工作，并进行了试运营。</w:t>
      </w:r>
    </w:p>
    <w:p w14:paraId="43F53D28">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（2）项目完成质量。新建、袁家、接龙和铁坡镇污水处理工程建设符合标准，满足污水处理营运要求。一体化设备的安装和调试工作符合规范，设备运行正常。</w:t>
      </w:r>
    </w:p>
    <w:p w14:paraId="2B40D30E">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3、项目的效益性分析</w:t>
      </w:r>
    </w:p>
    <w:p w14:paraId="560275C1">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项目预期目标完成程度。项目目标实现，保证了桐木、花桥和新路河镇污水得到有效的处理，建立起了资金来源稳定、管理运行规范、效果明显的镇乡污水处理营运制度，为今后全面推进我县镇乡污水处理一体化进程提供了宝贵的经验。</w:t>
      </w:r>
    </w:p>
    <w:p w14:paraId="4AB3700E">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（2）项目实施对经济和社会的影响。通过项目实施，使相关镇乡污水得到有效的处理，全面提升了当地生态环境卫生质量。</w:t>
      </w:r>
    </w:p>
    <w:p w14:paraId="67B9314C">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630"/>
        <w:textAlignment w:val="auto"/>
        <w:rPr>
          <w:rFonts w:hint="eastAsia" w:ascii="Times New Roman" w:hAnsi="Times New Roman" w:eastAsia="楷体" w:cs="Times New Roman"/>
          <w:b/>
          <w:kern w:val="2"/>
          <w:sz w:val="32"/>
          <w:szCs w:val="32"/>
          <w:lang w:val="en-US" w:eastAsia="zh-CN" w:bidi="ar-SA"/>
        </w:rPr>
      </w:pPr>
      <w:r>
        <w:rPr>
          <w:rStyle w:val="10"/>
          <w:rFonts w:hint="eastAsia" w:ascii="楷体" w:hAnsi="楷体" w:eastAsia="楷体" w:cs="楷体"/>
          <w:color w:val="4C4C4C"/>
          <w:sz w:val="31"/>
          <w:szCs w:val="31"/>
          <w:shd w:val="clear" w:color="auto" w:fill="FFFFFF"/>
        </w:rPr>
        <w:t> </w:t>
      </w:r>
      <w:r>
        <w:rPr>
          <w:rFonts w:hint="eastAsia" w:ascii="Times New Roman" w:hAnsi="Times New Roman" w:eastAsia="楷体" w:cs="Times New Roman"/>
          <w:b/>
          <w:kern w:val="2"/>
          <w:sz w:val="32"/>
          <w:szCs w:val="32"/>
          <w:lang w:val="en-US" w:eastAsia="zh-CN" w:bidi="ar-SA"/>
        </w:rPr>
        <w:t>五、主要经验及做法、存在的问题及原因分析</w:t>
      </w:r>
    </w:p>
    <w:p w14:paraId="54A2638E">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930" w:firstLineChars="300"/>
        <w:textAlignment w:val="auto"/>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（一）主要经验</w:t>
      </w:r>
    </w:p>
    <w:p w14:paraId="33BC3B67">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930" w:firstLineChars="300"/>
        <w:textAlignment w:val="auto"/>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一是建立形成了一套严格、科学、高效的运行机制，保障了桐木镇、花桥和新路河镇污水处理工作顺利开展。二是规范资金运行。按照施工进度提出用款申请，财政核拨，通过专账管理，确保资金及时足额到位。</w:t>
      </w:r>
    </w:p>
    <w:p w14:paraId="4E9E508F">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930" w:firstLineChars="300"/>
        <w:textAlignment w:val="auto"/>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(二）存在的问题：项目已完工，后期资金保障没有到位。</w:t>
      </w:r>
    </w:p>
    <w:p w14:paraId="580E9A5D">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630"/>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六、有关建议</w:t>
      </w:r>
    </w:p>
    <w:p w14:paraId="2ADDB1DA">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930" w:firstLineChars="300"/>
        <w:textAlignment w:val="auto"/>
        <w:rPr>
          <w:rFonts w:ascii="仿宋_GB2312" w:hAnsi="微软雅黑" w:eastAsia="仿宋_GB2312" w:cs="仿宋_GB2312"/>
          <w:color w:val="4C4C4C"/>
          <w:sz w:val="31"/>
          <w:szCs w:val="31"/>
          <w:shd w:val="clear" w:color="auto" w:fill="FFFFFF"/>
        </w:rPr>
      </w:pPr>
      <w:r>
        <w:rPr>
          <w:rFonts w:hint="eastAsia" w:ascii="仿宋_GB2312" w:hAnsi="微软雅黑" w:eastAsia="仿宋_GB2312" w:cs="仿宋_GB2312"/>
          <w:color w:val="4C4C4C"/>
          <w:sz w:val="31"/>
          <w:szCs w:val="31"/>
          <w:shd w:val="clear" w:color="auto" w:fill="FFFFFF"/>
        </w:rPr>
        <w:t>建议加大后期资金的保障。</w:t>
      </w:r>
    </w:p>
    <w:p w14:paraId="64B4D9FA">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630"/>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七、其他需要说明的问题</w:t>
      </w:r>
    </w:p>
    <w:p w14:paraId="0D190886">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textAlignment w:val="auto"/>
        <w:rPr>
          <w:rFonts w:hint="eastAsia" w:ascii="仿宋_GB2312" w:hAnsi="微软雅黑" w:eastAsia="仿宋_GB2312" w:cs="仿宋_GB2312"/>
          <w:color w:val="4C4C4C"/>
          <w:sz w:val="31"/>
          <w:szCs w:val="31"/>
          <w:shd w:val="clear" w:color="auto" w:fill="FFFFFF"/>
        </w:rPr>
      </w:pPr>
      <w:r>
        <w:rPr>
          <w:rStyle w:val="10"/>
          <w:rFonts w:hint="eastAsia" w:ascii="黑体" w:eastAsia="黑体" w:cs="黑体"/>
          <w:color w:val="4C4C4C"/>
          <w:sz w:val="31"/>
          <w:szCs w:val="31"/>
          <w:shd w:val="clear" w:color="auto" w:fill="FFFFFF"/>
        </w:rPr>
        <w:t xml:space="preserve">        </w:t>
      </w:r>
      <w:r>
        <w:rPr>
          <w:rFonts w:hint="eastAsia" w:ascii="仿宋_GB2312" w:hAnsi="微软雅黑" w:eastAsia="仿宋_GB2312" w:cs="仿宋_GB2312"/>
          <w:color w:val="4C4C4C"/>
          <w:sz w:val="31"/>
          <w:szCs w:val="31"/>
          <w:shd w:val="clear" w:color="auto" w:fill="FFFFFF"/>
        </w:rPr>
        <w:t xml:space="preserve">  无 </w:t>
      </w:r>
    </w:p>
    <w:p w14:paraId="635E6C99">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textAlignment w:val="auto"/>
        <w:rPr>
          <w:rFonts w:hint="eastAsia" w:ascii="仿宋_GB2312" w:hAnsi="微软雅黑" w:eastAsia="仿宋_GB2312" w:cs="仿宋_GB2312"/>
          <w:color w:val="4C4C4C"/>
          <w:sz w:val="31"/>
          <w:szCs w:val="31"/>
          <w:shd w:val="clear" w:color="auto" w:fill="FFFFFF"/>
        </w:rPr>
      </w:pPr>
    </w:p>
    <w:p w14:paraId="4F31BC1D">
      <w:pPr>
        <w:pStyle w:val="2"/>
        <w:keepNext w:val="0"/>
        <w:keepLines w:val="0"/>
        <w:pageBreakBefore w:val="0"/>
        <w:kinsoku/>
        <w:wordWrap/>
        <w:overflowPunct/>
        <w:topLinePunct w:val="0"/>
        <w:autoSpaceDE/>
        <w:autoSpaceDN/>
        <w:bidi w:val="0"/>
        <w:adjustRightInd/>
        <w:snapToGrid/>
        <w:spacing w:line="440" w:lineRule="exact"/>
        <w:ind w:firstLine="4760" w:firstLineChars="17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中方县住房和城乡建设局</w:t>
      </w:r>
    </w:p>
    <w:p w14:paraId="7F824BF5">
      <w:pPr>
        <w:keepNext w:val="0"/>
        <w:keepLines w:val="0"/>
        <w:pageBreakBefore w:val="0"/>
        <w:kinsoku/>
        <w:wordWrap/>
        <w:overflowPunct/>
        <w:topLinePunct w:val="0"/>
        <w:autoSpaceDE/>
        <w:autoSpaceDN/>
        <w:bidi w:val="0"/>
        <w:adjustRightInd/>
        <w:snapToGrid/>
        <w:spacing w:line="440" w:lineRule="exact"/>
        <w:ind w:firstLine="5320" w:firstLineChars="19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2023年</w:t>
      </w:r>
      <w:r>
        <w:rPr>
          <w:rFonts w:hint="eastAsia" w:ascii="宋体" w:hAnsi="宋体" w:cs="宋体"/>
          <w:sz w:val="28"/>
          <w:szCs w:val="28"/>
          <w:lang w:val="en-US" w:eastAsia="zh-CN"/>
        </w:rPr>
        <w:t>7</w:t>
      </w:r>
      <w:r>
        <w:rPr>
          <w:rFonts w:hint="eastAsia" w:ascii="宋体" w:hAnsi="宋体" w:eastAsia="宋体" w:cs="宋体"/>
          <w:sz w:val="28"/>
          <w:szCs w:val="28"/>
          <w:lang w:val="en-US" w:eastAsia="zh-CN"/>
        </w:rPr>
        <w:t>月</w:t>
      </w:r>
      <w:r>
        <w:rPr>
          <w:rFonts w:hint="eastAsia" w:ascii="宋体" w:hAnsi="宋体" w:cs="宋体"/>
          <w:sz w:val="28"/>
          <w:szCs w:val="28"/>
          <w:lang w:val="en-US" w:eastAsia="zh-CN"/>
        </w:rPr>
        <w:t>10</w:t>
      </w:r>
      <w:r>
        <w:rPr>
          <w:rFonts w:hint="eastAsia" w:ascii="宋体" w:hAnsi="宋体" w:eastAsia="宋体" w:cs="宋体"/>
          <w:sz w:val="28"/>
          <w:szCs w:val="28"/>
          <w:lang w:val="en-US" w:eastAsia="zh-CN"/>
        </w:rPr>
        <w:t>日</w:t>
      </w:r>
    </w:p>
    <w:p w14:paraId="39FF62E9">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1A00450B">
      <w:pPr>
        <w:pStyle w:val="7"/>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57129804"/>
    <w:p w14:paraId="7DC8550A">
      <w:pPr>
        <w:widowControl/>
        <w:spacing w:line="510" w:lineRule="exact"/>
        <w:jc w:val="left"/>
        <w:rPr>
          <w:rFonts w:ascii="仿宋_GB2312" w:hAnsi="微软雅黑" w:eastAsia="仿宋_GB2312" w:cs="仿宋_GB2312"/>
          <w:color w:val="4C4C4C"/>
          <w:kern w:val="0"/>
          <w:sz w:val="31"/>
          <w:szCs w:val="31"/>
          <w:shd w:val="clear" w:color="auto" w:fill="FFFFFF"/>
        </w:rPr>
      </w:pPr>
      <w:r>
        <w:rPr>
          <w:rFonts w:hint="eastAsia" w:cs="Times New Roman"/>
          <w:kern w:val="2"/>
          <w:sz w:val="21"/>
          <w:szCs w:val="24"/>
          <w:lang w:val="en-US" w:eastAsia="zh-CN" w:bidi="ar-SA"/>
        </w:rPr>
        <w:tab/>
      </w:r>
      <w:r>
        <w:rPr>
          <w:rFonts w:ascii="仿宋_GB2312" w:hAnsi="微软雅黑" w:eastAsia="仿宋_GB2312" w:cs="仿宋_GB2312"/>
          <w:color w:val="4C4C4C"/>
          <w:kern w:val="0"/>
          <w:sz w:val="31"/>
          <w:szCs w:val="31"/>
          <w:shd w:val="clear" w:color="auto" w:fill="FFFFFF"/>
        </w:rPr>
        <w:t>附件：1.项目支出绩效自评表</w:t>
      </w:r>
    </w:p>
    <w:p w14:paraId="3D367931">
      <w:pPr>
        <w:widowControl/>
        <w:spacing w:line="510" w:lineRule="exact"/>
        <w:ind w:firstLine="1240" w:firstLineChars="400"/>
        <w:jc w:val="left"/>
        <w:rPr>
          <w:rFonts w:hint="eastAsia" w:ascii="仿宋_GB2312" w:hAnsi="微软雅黑" w:eastAsia="仿宋_GB2312" w:cs="仿宋_GB2312"/>
          <w:color w:val="4C4C4C"/>
          <w:kern w:val="0"/>
          <w:sz w:val="31"/>
          <w:szCs w:val="31"/>
          <w:shd w:val="clear" w:color="auto" w:fill="FFFFFF"/>
          <w:lang w:eastAsia="zh-CN"/>
        </w:rPr>
      </w:pPr>
      <w:r>
        <w:rPr>
          <w:rFonts w:ascii="仿宋_GB2312" w:hAnsi="微软雅黑" w:eastAsia="仿宋_GB2312" w:cs="仿宋_GB2312"/>
          <w:color w:val="4C4C4C"/>
          <w:kern w:val="0"/>
          <w:sz w:val="31"/>
          <w:szCs w:val="31"/>
          <w:shd w:val="clear" w:color="auto" w:fill="FFFFFF"/>
        </w:rPr>
        <w:t>2.项目支出绩效评价指标</w:t>
      </w:r>
      <w:r>
        <w:rPr>
          <w:rFonts w:hint="eastAsia" w:ascii="仿宋_GB2312" w:hAnsi="微软雅黑" w:eastAsia="仿宋_GB2312" w:cs="仿宋_GB2312"/>
          <w:color w:val="4C4C4C"/>
          <w:kern w:val="0"/>
          <w:sz w:val="31"/>
          <w:szCs w:val="31"/>
          <w:shd w:val="clear" w:color="auto" w:fill="FFFFFF"/>
          <w:lang w:eastAsia="zh-CN"/>
        </w:rPr>
        <w:t>体系</w:t>
      </w:r>
    </w:p>
    <w:p w14:paraId="5B0C0CE2">
      <w:pPr>
        <w:spacing w:line="400" w:lineRule="exact"/>
        <w:rPr>
          <w:rFonts w:hint="eastAsia" w:eastAsia="仿宋_GB2312"/>
          <w:bCs/>
          <w:color w:val="000000"/>
          <w:sz w:val="32"/>
          <w:szCs w:val="32"/>
        </w:rPr>
      </w:pPr>
    </w:p>
    <w:p w14:paraId="1A213841">
      <w:pPr>
        <w:spacing w:line="400" w:lineRule="exact"/>
        <w:rPr>
          <w:rFonts w:hint="eastAsia" w:eastAsia="仿宋_GB2312"/>
          <w:bCs/>
          <w:color w:val="000000"/>
          <w:sz w:val="32"/>
          <w:szCs w:val="32"/>
        </w:rPr>
      </w:pPr>
    </w:p>
    <w:p w14:paraId="78EEEBD6">
      <w:pPr>
        <w:spacing w:line="400" w:lineRule="exact"/>
        <w:rPr>
          <w:rFonts w:hint="eastAsia" w:eastAsia="仿宋_GB2312"/>
          <w:bCs/>
          <w:color w:val="000000"/>
          <w:sz w:val="32"/>
          <w:szCs w:val="32"/>
        </w:rPr>
      </w:pPr>
    </w:p>
    <w:p w14:paraId="6225FAF9">
      <w:pPr>
        <w:spacing w:line="400" w:lineRule="exact"/>
        <w:rPr>
          <w:rFonts w:eastAsia="仿宋_GB2312"/>
          <w:bCs/>
          <w:color w:val="000000"/>
          <w:sz w:val="32"/>
          <w:szCs w:val="32"/>
        </w:rPr>
      </w:pPr>
    </w:p>
    <w:p w14:paraId="2EA88B8F">
      <w:pPr>
        <w:tabs>
          <w:tab w:val="left" w:pos="1076"/>
        </w:tabs>
        <w:spacing w:line="400" w:lineRule="exact"/>
        <w:rPr>
          <w:rFonts w:hint="eastAsia" w:eastAsia="仿宋_GB2312"/>
          <w:bCs/>
          <w:color w:val="000000"/>
          <w:sz w:val="32"/>
          <w:szCs w:val="32"/>
          <w:lang w:eastAsia="zh-CN"/>
        </w:rPr>
      </w:pPr>
      <w:r>
        <w:rPr>
          <w:rFonts w:hint="eastAsia" w:eastAsia="仿宋_GB2312"/>
          <w:bCs/>
          <w:color w:val="000000"/>
          <w:sz w:val="32"/>
          <w:szCs w:val="32"/>
          <w:lang w:eastAsia="zh-CN"/>
        </w:rPr>
        <w:tab/>
      </w:r>
    </w:p>
    <w:p w14:paraId="74F0F276">
      <w:pPr>
        <w:spacing w:line="400" w:lineRule="exact"/>
        <w:rPr>
          <w:rFonts w:eastAsia="仿宋_GB2312"/>
          <w:bCs/>
          <w:color w:val="000000"/>
          <w:sz w:val="32"/>
          <w:szCs w:val="32"/>
        </w:rPr>
      </w:pPr>
    </w:p>
    <w:p w14:paraId="4A83381D">
      <w:pPr>
        <w:spacing w:line="400" w:lineRule="exact"/>
        <w:rPr>
          <w:rFonts w:eastAsia="仿宋_GB2312"/>
          <w:bCs/>
          <w:color w:val="000000"/>
          <w:sz w:val="24"/>
          <w:szCs w:val="24"/>
        </w:rPr>
      </w:pPr>
      <w:r>
        <w:rPr>
          <w:rFonts w:eastAsia="仿宋_GB2312"/>
          <w:bCs/>
          <w:color w:val="000000"/>
          <w:sz w:val="32"/>
          <w:szCs w:val="32"/>
        </w:rPr>
        <w:t>附件</w:t>
      </w:r>
      <w:r>
        <w:rPr>
          <w:rFonts w:hint="eastAsia" w:eastAsia="仿宋_GB2312"/>
          <w:bCs/>
          <w:color w:val="000000"/>
          <w:sz w:val="32"/>
          <w:szCs w:val="32"/>
        </w:rPr>
        <w:t>1</w:t>
      </w:r>
    </w:p>
    <w:tbl>
      <w:tblPr>
        <w:tblStyle w:val="8"/>
        <w:tblW w:w="9080" w:type="dxa"/>
        <w:jc w:val="center"/>
        <w:tblLayout w:type="fixed"/>
        <w:tblCellMar>
          <w:top w:w="0" w:type="dxa"/>
          <w:left w:w="108" w:type="dxa"/>
          <w:bottom w:w="0" w:type="dxa"/>
          <w:right w:w="108" w:type="dxa"/>
        </w:tblCellMar>
      </w:tblPr>
      <w:tblGrid>
        <w:gridCol w:w="588"/>
        <w:gridCol w:w="980"/>
        <w:gridCol w:w="1112"/>
        <w:gridCol w:w="730"/>
        <w:gridCol w:w="1134"/>
        <w:gridCol w:w="274"/>
        <w:gridCol w:w="860"/>
        <w:gridCol w:w="851"/>
        <w:gridCol w:w="283"/>
        <w:gridCol w:w="284"/>
        <w:gridCol w:w="425"/>
        <w:gridCol w:w="142"/>
        <w:gridCol w:w="709"/>
        <w:gridCol w:w="708"/>
      </w:tblGrid>
      <w:tr w14:paraId="5E7B6314">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noWrap w:val="0"/>
            <w:vAlign w:val="center"/>
          </w:tcPr>
          <w:p w14:paraId="2BB2C724">
            <w:pPr>
              <w:widowControl/>
              <w:spacing w:line="320" w:lineRule="exact"/>
              <w:jc w:val="center"/>
              <w:rPr>
                <w:b/>
                <w:bCs/>
                <w:kern w:val="0"/>
                <w:sz w:val="24"/>
                <w:szCs w:val="24"/>
              </w:rPr>
            </w:pPr>
            <w:r>
              <w:rPr>
                <w:b/>
                <w:bCs/>
                <w:kern w:val="0"/>
                <w:sz w:val="24"/>
                <w:szCs w:val="24"/>
              </w:rPr>
              <w:t>项目支出绩效自评表</w:t>
            </w:r>
          </w:p>
        </w:tc>
      </w:tr>
      <w:tr w14:paraId="5DCCD24A">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14:paraId="1488FB11">
            <w:pPr>
              <w:widowControl/>
              <w:spacing w:line="0" w:lineRule="atLeast"/>
              <w:jc w:val="left"/>
              <w:rPr>
                <w:rFonts w:ascii="Calibri" w:hAnsi="Calibri" w:eastAsia="宋体" w:cs="Times New Roman"/>
                <w:color w:val="000000"/>
                <w:kern w:val="0"/>
                <w:sz w:val="22"/>
                <w:szCs w:val="22"/>
              </w:rPr>
            </w:pPr>
            <w:r>
              <w:rPr>
                <w:rFonts w:hint="eastAsia" w:ascii="Calibri" w:hAnsi="Calibri" w:cs="Times New Roman"/>
                <w:color w:val="000000"/>
                <w:kern w:val="0"/>
                <w:sz w:val="24"/>
                <w:szCs w:val="24"/>
                <w:lang w:eastAsia="zh-CN"/>
              </w:rPr>
              <w:t>　　　　　　　　　　　　　　　</w:t>
            </w:r>
            <w:r>
              <w:rPr>
                <w:rFonts w:ascii="Calibri" w:hAnsi="Calibri" w:eastAsia="宋体" w:cs="Times New Roman"/>
                <w:color w:val="000000"/>
                <w:kern w:val="0"/>
                <w:sz w:val="24"/>
                <w:szCs w:val="24"/>
              </w:rPr>
              <w:t>（20</w:t>
            </w:r>
            <w:r>
              <w:rPr>
                <w:rFonts w:hint="eastAsia" w:ascii="Calibri" w:hAnsi="Calibri" w:eastAsia="宋体" w:cs="Times New Roman"/>
                <w:color w:val="000000"/>
                <w:kern w:val="0"/>
                <w:sz w:val="24"/>
                <w:szCs w:val="24"/>
              </w:rPr>
              <w:t>2</w:t>
            </w:r>
            <w:r>
              <w:rPr>
                <w:rFonts w:hint="eastAsia" w:ascii="Calibri" w:hAnsi="Calibri" w:eastAsia="宋体" w:cs="Times New Roman"/>
                <w:color w:val="000000"/>
                <w:kern w:val="0"/>
                <w:sz w:val="24"/>
                <w:szCs w:val="24"/>
                <w:lang w:val="en-US" w:eastAsia="zh-CN"/>
              </w:rPr>
              <w:t>2</w:t>
            </w:r>
            <w:r>
              <w:rPr>
                <w:rFonts w:ascii="Calibri" w:hAnsi="Calibri" w:eastAsia="宋体" w:cs="Times New Roman"/>
                <w:color w:val="000000"/>
                <w:kern w:val="0"/>
                <w:sz w:val="24"/>
                <w:szCs w:val="24"/>
              </w:rPr>
              <w:t>年度）</w:t>
            </w:r>
          </w:p>
        </w:tc>
      </w:tr>
      <w:tr w14:paraId="6878965E">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3F68E86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14:paraId="7FF012D8">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202</w:t>
            </w:r>
            <w:r>
              <w:rPr>
                <w:rFonts w:hint="eastAsia" w:ascii="Calibri" w:hAnsi="Calibri" w:eastAsia="宋体" w:cs="Times New Roman"/>
                <w:color w:val="000000"/>
                <w:kern w:val="0"/>
                <w:sz w:val="22"/>
                <w:szCs w:val="22"/>
                <w:lang w:val="en-US" w:eastAsia="zh-CN"/>
              </w:rPr>
              <w:t>2</w:t>
            </w:r>
            <w:r>
              <w:rPr>
                <w:rFonts w:hint="eastAsia" w:ascii="Calibri" w:hAnsi="Calibri" w:eastAsia="宋体" w:cs="Times New Roman"/>
                <w:color w:val="000000"/>
                <w:kern w:val="0"/>
                <w:sz w:val="22"/>
                <w:szCs w:val="22"/>
              </w:rPr>
              <w:t>年</w:t>
            </w:r>
            <w:r>
              <w:rPr>
                <w:rFonts w:hint="eastAsia" w:ascii="Calibri" w:hAnsi="Calibri" w:eastAsia="宋体" w:cs="Times New Roman"/>
                <w:color w:val="000000"/>
                <w:kern w:val="0"/>
                <w:sz w:val="22"/>
                <w:szCs w:val="22"/>
                <w:lang w:eastAsia="zh-CN"/>
              </w:rPr>
              <w:t>度</w:t>
            </w:r>
            <w:r>
              <w:rPr>
                <w:rFonts w:hint="eastAsia" w:ascii="Calibri" w:hAnsi="Calibri" w:eastAsia="宋体" w:cs="Times New Roman"/>
                <w:color w:val="000000"/>
                <w:kern w:val="0"/>
                <w:sz w:val="22"/>
                <w:szCs w:val="22"/>
              </w:rPr>
              <w:t>中方县</w:t>
            </w:r>
            <w:r>
              <w:rPr>
                <w:rFonts w:hint="eastAsia" w:ascii="Calibri" w:hAnsi="Calibri" w:eastAsia="宋体" w:cs="Times New Roman"/>
                <w:color w:val="000000"/>
                <w:kern w:val="0"/>
                <w:sz w:val="22"/>
                <w:szCs w:val="22"/>
                <w:lang w:eastAsia="zh-CN"/>
              </w:rPr>
              <w:t>乡镇</w:t>
            </w:r>
            <w:r>
              <w:rPr>
                <w:rFonts w:hint="eastAsia" w:ascii="Calibri" w:hAnsi="Calibri" w:eastAsia="宋体" w:cs="Times New Roman"/>
                <w:color w:val="000000"/>
                <w:kern w:val="0"/>
                <w:sz w:val="22"/>
                <w:szCs w:val="22"/>
              </w:rPr>
              <w:t>污水处理厂及配套管网工程</w:t>
            </w:r>
          </w:p>
        </w:tc>
      </w:tr>
      <w:tr w14:paraId="05164751">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0E409924">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14:paraId="17F38CFF">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中方县住房和城乡建设局</w:t>
            </w:r>
          </w:p>
        </w:tc>
        <w:tc>
          <w:tcPr>
            <w:tcW w:w="1134" w:type="dxa"/>
            <w:gridSpan w:val="2"/>
            <w:tcBorders>
              <w:top w:val="nil"/>
              <w:left w:val="nil"/>
              <w:bottom w:val="single" w:color="auto" w:sz="4" w:space="0"/>
              <w:right w:val="single" w:color="auto" w:sz="4" w:space="0"/>
            </w:tcBorders>
            <w:noWrap w:val="0"/>
            <w:vAlign w:val="center"/>
          </w:tcPr>
          <w:p w14:paraId="34EC7C64">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14:paraId="5F1777A4">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中方县住房和城乡建设局</w:t>
            </w:r>
          </w:p>
        </w:tc>
      </w:tr>
      <w:tr w14:paraId="0A198C91">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91A93E1">
            <w:pPr>
              <w:widowControl/>
              <w:spacing w:line="0" w:lineRule="atLeast"/>
              <w:jc w:val="left"/>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项目资金</w:t>
            </w:r>
          </w:p>
          <w:p w14:paraId="4E5EFFC7">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（万元）</w:t>
            </w:r>
          </w:p>
        </w:tc>
        <w:tc>
          <w:tcPr>
            <w:tcW w:w="1842" w:type="dxa"/>
            <w:gridSpan w:val="2"/>
            <w:tcBorders>
              <w:top w:val="single" w:color="auto" w:sz="4" w:space="0"/>
              <w:left w:val="nil"/>
              <w:bottom w:val="single" w:color="auto" w:sz="4" w:space="0"/>
              <w:right w:val="single" w:color="auto" w:sz="4" w:space="0"/>
            </w:tcBorders>
            <w:noWrap w:val="0"/>
            <w:vAlign w:val="center"/>
          </w:tcPr>
          <w:p w14:paraId="18751C69">
            <w:pPr>
              <w:widowControl/>
              <w:spacing w:line="0" w:lineRule="atLeast"/>
              <w:jc w:val="left"/>
              <w:rPr>
                <w:rFonts w:ascii="Calibri" w:hAnsi="Calibri" w:eastAsia="宋体" w:cs="Times New Roman"/>
                <w:color w:val="000000"/>
                <w:kern w:val="0"/>
                <w:sz w:val="22"/>
                <w:szCs w:val="22"/>
              </w:rPr>
            </w:pPr>
          </w:p>
        </w:tc>
        <w:tc>
          <w:tcPr>
            <w:tcW w:w="1134" w:type="dxa"/>
            <w:tcBorders>
              <w:top w:val="nil"/>
              <w:left w:val="nil"/>
              <w:bottom w:val="single" w:color="auto" w:sz="4" w:space="0"/>
              <w:right w:val="single" w:color="auto" w:sz="4" w:space="0"/>
            </w:tcBorders>
            <w:noWrap w:val="0"/>
            <w:vAlign w:val="center"/>
          </w:tcPr>
          <w:p w14:paraId="5CD0F8E5">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年初预算数</w:t>
            </w:r>
          </w:p>
        </w:tc>
        <w:tc>
          <w:tcPr>
            <w:tcW w:w="1134" w:type="dxa"/>
            <w:gridSpan w:val="2"/>
            <w:tcBorders>
              <w:top w:val="nil"/>
              <w:left w:val="nil"/>
              <w:bottom w:val="single" w:color="auto" w:sz="4" w:space="0"/>
              <w:right w:val="single" w:color="auto" w:sz="4" w:space="0"/>
            </w:tcBorders>
            <w:noWrap w:val="0"/>
            <w:vAlign w:val="center"/>
          </w:tcPr>
          <w:p w14:paraId="281E18D3">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全年预算数（A）</w:t>
            </w:r>
          </w:p>
        </w:tc>
        <w:tc>
          <w:tcPr>
            <w:tcW w:w="1134" w:type="dxa"/>
            <w:gridSpan w:val="2"/>
            <w:tcBorders>
              <w:top w:val="nil"/>
              <w:left w:val="nil"/>
              <w:bottom w:val="single" w:color="auto" w:sz="4" w:space="0"/>
              <w:right w:val="single" w:color="auto" w:sz="4" w:space="0"/>
            </w:tcBorders>
            <w:noWrap w:val="0"/>
            <w:vAlign w:val="center"/>
          </w:tcPr>
          <w:p w14:paraId="662B4877">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全年执行数（B）</w:t>
            </w:r>
          </w:p>
        </w:tc>
        <w:tc>
          <w:tcPr>
            <w:tcW w:w="709" w:type="dxa"/>
            <w:gridSpan w:val="2"/>
            <w:tcBorders>
              <w:top w:val="nil"/>
              <w:left w:val="nil"/>
              <w:bottom w:val="single" w:color="auto" w:sz="4" w:space="0"/>
              <w:right w:val="single" w:color="auto" w:sz="4" w:space="0"/>
            </w:tcBorders>
            <w:noWrap w:val="0"/>
            <w:vAlign w:val="center"/>
          </w:tcPr>
          <w:p w14:paraId="03F838C5">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分值</w:t>
            </w:r>
          </w:p>
        </w:tc>
        <w:tc>
          <w:tcPr>
            <w:tcW w:w="851" w:type="dxa"/>
            <w:gridSpan w:val="2"/>
            <w:tcBorders>
              <w:top w:val="single" w:color="auto" w:sz="4" w:space="0"/>
              <w:left w:val="nil"/>
              <w:bottom w:val="single" w:color="auto" w:sz="4" w:space="0"/>
              <w:right w:val="single" w:color="auto" w:sz="4" w:space="0"/>
            </w:tcBorders>
            <w:noWrap w:val="0"/>
            <w:vAlign w:val="center"/>
          </w:tcPr>
          <w:p w14:paraId="2AD6F8DF">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执行率（B/A)</w:t>
            </w:r>
          </w:p>
        </w:tc>
        <w:tc>
          <w:tcPr>
            <w:tcW w:w="708" w:type="dxa"/>
            <w:tcBorders>
              <w:top w:val="nil"/>
              <w:left w:val="nil"/>
              <w:bottom w:val="single" w:color="auto" w:sz="4" w:space="0"/>
              <w:right w:val="single" w:color="auto" w:sz="4" w:space="0"/>
            </w:tcBorders>
            <w:noWrap w:val="0"/>
            <w:vAlign w:val="center"/>
          </w:tcPr>
          <w:p w14:paraId="2417979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得分</w:t>
            </w:r>
          </w:p>
        </w:tc>
      </w:tr>
      <w:tr w14:paraId="0ECAFA2B">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A98FC97">
            <w:pPr>
              <w:widowControl/>
              <w:spacing w:line="0" w:lineRule="atLeast"/>
              <w:jc w:val="left"/>
              <w:rPr>
                <w:rFonts w:ascii="Calibri" w:hAnsi="Calibri" w:eastAsia="宋体" w:cs="Times New Roman"/>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noWrap w:val="0"/>
            <w:vAlign w:val="center"/>
          </w:tcPr>
          <w:p w14:paraId="49BE2940">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年度资金总额</w:t>
            </w:r>
          </w:p>
        </w:tc>
        <w:tc>
          <w:tcPr>
            <w:tcW w:w="1134" w:type="dxa"/>
            <w:tcBorders>
              <w:top w:val="nil"/>
              <w:left w:val="nil"/>
              <w:bottom w:val="single" w:color="auto" w:sz="4" w:space="0"/>
              <w:right w:val="single" w:color="auto" w:sz="4" w:space="0"/>
            </w:tcBorders>
            <w:noWrap w:val="0"/>
            <w:vAlign w:val="center"/>
          </w:tcPr>
          <w:p w14:paraId="2B76E53D">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1000</w:t>
            </w:r>
          </w:p>
        </w:tc>
        <w:tc>
          <w:tcPr>
            <w:tcW w:w="1134" w:type="dxa"/>
            <w:gridSpan w:val="2"/>
            <w:tcBorders>
              <w:top w:val="nil"/>
              <w:left w:val="nil"/>
              <w:bottom w:val="single" w:color="auto" w:sz="4" w:space="0"/>
              <w:right w:val="single" w:color="auto" w:sz="4" w:space="0"/>
            </w:tcBorders>
            <w:noWrap w:val="0"/>
            <w:vAlign w:val="center"/>
          </w:tcPr>
          <w:p w14:paraId="4F76F782">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1280</w:t>
            </w:r>
          </w:p>
        </w:tc>
        <w:tc>
          <w:tcPr>
            <w:tcW w:w="1134" w:type="dxa"/>
            <w:gridSpan w:val="2"/>
            <w:tcBorders>
              <w:top w:val="nil"/>
              <w:left w:val="nil"/>
              <w:bottom w:val="single" w:color="auto" w:sz="4" w:space="0"/>
              <w:right w:val="single" w:color="auto" w:sz="4" w:space="0"/>
            </w:tcBorders>
            <w:noWrap w:val="0"/>
            <w:vAlign w:val="center"/>
          </w:tcPr>
          <w:p w14:paraId="21508703">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1280</w:t>
            </w:r>
          </w:p>
        </w:tc>
        <w:tc>
          <w:tcPr>
            <w:tcW w:w="709" w:type="dxa"/>
            <w:gridSpan w:val="2"/>
            <w:tcBorders>
              <w:top w:val="nil"/>
              <w:left w:val="nil"/>
              <w:bottom w:val="single" w:color="auto" w:sz="4" w:space="0"/>
              <w:right w:val="single" w:color="auto" w:sz="4" w:space="0"/>
            </w:tcBorders>
            <w:noWrap w:val="0"/>
            <w:vAlign w:val="center"/>
          </w:tcPr>
          <w:p w14:paraId="3AA2457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10</w:t>
            </w:r>
          </w:p>
        </w:tc>
        <w:tc>
          <w:tcPr>
            <w:tcW w:w="851" w:type="dxa"/>
            <w:gridSpan w:val="2"/>
            <w:tcBorders>
              <w:top w:val="single" w:color="auto" w:sz="4" w:space="0"/>
              <w:left w:val="nil"/>
              <w:bottom w:val="single" w:color="auto" w:sz="4" w:space="0"/>
              <w:right w:val="single" w:color="auto" w:sz="4" w:space="0"/>
            </w:tcBorders>
            <w:noWrap w:val="0"/>
            <w:vAlign w:val="center"/>
          </w:tcPr>
          <w:p w14:paraId="5A85C531">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100%</w:t>
            </w:r>
          </w:p>
        </w:tc>
        <w:tc>
          <w:tcPr>
            <w:tcW w:w="708" w:type="dxa"/>
            <w:tcBorders>
              <w:top w:val="nil"/>
              <w:left w:val="nil"/>
              <w:bottom w:val="single" w:color="auto" w:sz="4" w:space="0"/>
              <w:right w:val="single" w:color="auto" w:sz="4" w:space="0"/>
            </w:tcBorders>
            <w:noWrap w:val="0"/>
            <w:vAlign w:val="center"/>
          </w:tcPr>
          <w:p w14:paraId="6F4B18C2">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w:t>
            </w:r>
          </w:p>
        </w:tc>
      </w:tr>
      <w:tr w14:paraId="09BBFEF2">
        <w:tblPrEx>
          <w:tblCellMar>
            <w:top w:w="0" w:type="dxa"/>
            <w:left w:w="108" w:type="dxa"/>
            <w:bottom w:w="0" w:type="dxa"/>
            <w:right w:w="108" w:type="dxa"/>
          </w:tblCellMar>
        </w:tblPrEx>
        <w:trPr>
          <w:trHeight w:val="275"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29BD96A">
            <w:pPr>
              <w:widowControl/>
              <w:spacing w:line="0" w:lineRule="atLeast"/>
              <w:jc w:val="left"/>
              <w:rPr>
                <w:rFonts w:ascii="Calibri" w:hAnsi="Calibri" w:eastAsia="宋体" w:cs="Times New Roman"/>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noWrap w:val="0"/>
            <w:vAlign w:val="center"/>
          </w:tcPr>
          <w:p w14:paraId="5F5B82D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其中：当年财政拨款</w:t>
            </w:r>
          </w:p>
        </w:tc>
        <w:tc>
          <w:tcPr>
            <w:tcW w:w="1134" w:type="dxa"/>
            <w:tcBorders>
              <w:top w:val="nil"/>
              <w:left w:val="nil"/>
              <w:bottom w:val="single" w:color="auto" w:sz="4" w:space="0"/>
              <w:right w:val="single" w:color="auto" w:sz="4" w:space="0"/>
            </w:tcBorders>
            <w:noWrap w:val="0"/>
            <w:vAlign w:val="center"/>
          </w:tcPr>
          <w:p w14:paraId="6D0C302D">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1000</w:t>
            </w:r>
          </w:p>
        </w:tc>
        <w:tc>
          <w:tcPr>
            <w:tcW w:w="1134" w:type="dxa"/>
            <w:gridSpan w:val="2"/>
            <w:tcBorders>
              <w:top w:val="nil"/>
              <w:left w:val="nil"/>
              <w:bottom w:val="single" w:color="auto" w:sz="4" w:space="0"/>
              <w:right w:val="single" w:color="auto" w:sz="4" w:space="0"/>
            </w:tcBorders>
            <w:noWrap w:val="0"/>
            <w:vAlign w:val="center"/>
          </w:tcPr>
          <w:p w14:paraId="51FBFD9C">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1280</w:t>
            </w:r>
          </w:p>
        </w:tc>
        <w:tc>
          <w:tcPr>
            <w:tcW w:w="1134" w:type="dxa"/>
            <w:gridSpan w:val="2"/>
            <w:tcBorders>
              <w:top w:val="nil"/>
              <w:left w:val="nil"/>
              <w:bottom w:val="single" w:color="auto" w:sz="4" w:space="0"/>
              <w:right w:val="single" w:color="auto" w:sz="4" w:space="0"/>
            </w:tcBorders>
            <w:noWrap w:val="0"/>
            <w:vAlign w:val="center"/>
          </w:tcPr>
          <w:p w14:paraId="43030FF5">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1280</w:t>
            </w:r>
          </w:p>
        </w:tc>
        <w:tc>
          <w:tcPr>
            <w:tcW w:w="709" w:type="dxa"/>
            <w:gridSpan w:val="2"/>
            <w:tcBorders>
              <w:top w:val="nil"/>
              <w:left w:val="nil"/>
              <w:bottom w:val="single" w:color="auto" w:sz="4" w:space="0"/>
              <w:right w:val="single" w:color="auto" w:sz="4" w:space="0"/>
            </w:tcBorders>
            <w:noWrap w:val="0"/>
            <w:vAlign w:val="center"/>
          </w:tcPr>
          <w:p w14:paraId="7824684A">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c>
          <w:tcPr>
            <w:tcW w:w="851" w:type="dxa"/>
            <w:gridSpan w:val="2"/>
            <w:tcBorders>
              <w:top w:val="single" w:color="auto" w:sz="4" w:space="0"/>
              <w:left w:val="nil"/>
              <w:bottom w:val="single" w:color="auto" w:sz="4" w:space="0"/>
              <w:right w:val="single" w:color="auto" w:sz="4" w:space="0"/>
            </w:tcBorders>
            <w:noWrap w:val="0"/>
            <w:vAlign w:val="center"/>
          </w:tcPr>
          <w:p w14:paraId="6FED7A55">
            <w:pPr>
              <w:widowControl/>
              <w:spacing w:line="0" w:lineRule="atLeast"/>
              <w:jc w:val="left"/>
              <w:rPr>
                <w:rFonts w:ascii="Calibri" w:hAnsi="Calibri" w:eastAsia="宋体" w:cs="Times New Roman"/>
                <w:color w:val="000000"/>
                <w:kern w:val="0"/>
                <w:sz w:val="22"/>
                <w:szCs w:val="22"/>
              </w:rPr>
            </w:pPr>
          </w:p>
        </w:tc>
        <w:tc>
          <w:tcPr>
            <w:tcW w:w="708" w:type="dxa"/>
            <w:tcBorders>
              <w:top w:val="nil"/>
              <w:left w:val="nil"/>
              <w:bottom w:val="single" w:color="auto" w:sz="4" w:space="0"/>
              <w:right w:val="single" w:color="auto" w:sz="4" w:space="0"/>
            </w:tcBorders>
            <w:noWrap w:val="0"/>
            <w:vAlign w:val="center"/>
          </w:tcPr>
          <w:p w14:paraId="455C339A">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r>
      <w:tr w14:paraId="44C0714E">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F577F09">
            <w:pPr>
              <w:widowControl/>
              <w:spacing w:line="0" w:lineRule="atLeast"/>
              <w:jc w:val="left"/>
              <w:rPr>
                <w:rFonts w:ascii="Calibri" w:hAnsi="Calibri" w:eastAsia="宋体" w:cs="Times New Roman"/>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noWrap w:val="0"/>
            <w:vAlign w:val="center"/>
          </w:tcPr>
          <w:p w14:paraId="66F7500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 xml:space="preserve">      上年结转资金</w:t>
            </w:r>
          </w:p>
        </w:tc>
        <w:tc>
          <w:tcPr>
            <w:tcW w:w="1134" w:type="dxa"/>
            <w:tcBorders>
              <w:top w:val="nil"/>
              <w:left w:val="nil"/>
              <w:bottom w:val="single" w:color="auto" w:sz="4" w:space="0"/>
              <w:right w:val="single" w:color="auto" w:sz="4" w:space="0"/>
            </w:tcBorders>
            <w:noWrap w:val="0"/>
            <w:vAlign w:val="center"/>
          </w:tcPr>
          <w:p w14:paraId="64A2895F">
            <w:pPr>
              <w:widowControl/>
              <w:spacing w:line="0" w:lineRule="atLeast"/>
              <w:jc w:val="left"/>
              <w:rPr>
                <w:rFonts w:ascii="Calibri" w:hAnsi="Calibri" w:eastAsia="宋体" w:cs="Times New Roman"/>
                <w:color w:val="000000"/>
                <w:kern w:val="0"/>
                <w:sz w:val="22"/>
                <w:szCs w:val="22"/>
              </w:rPr>
            </w:pPr>
          </w:p>
        </w:tc>
        <w:tc>
          <w:tcPr>
            <w:tcW w:w="1134" w:type="dxa"/>
            <w:gridSpan w:val="2"/>
            <w:tcBorders>
              <w:top w:val="nil"/>
              <w:left w:val="nil"/>
              <w:bottom w:val="single" w:color="auto" w:sz="4" w:space="0"/>
              <w:right w:val="single" w:color="auto" w:sz="4" w:space="0"/>
            </w:tcBorders>
            <w:noWrap w:val="0"/>
            <w:vAlign w:val="center"/>
          </w:tcPr>
          <w:p w14:paraId="54156A2E">
            <w:pPr>
              <w:widowControl/>
              <w:spacing w:line="0" w:lineRule="atLeast"/>
              <w:jc w:val="left"/>
              <w:rPr>
                <w:rFonts w:ascii="Calibri" w:hAnsi="Calibri" w:eastAsia="宋体" w:cs="Times New Roman"/>
                <w:color w:val="000000"/>
                <w:kern w:val="0"/>
                <w:sz w:val="22"/>
                <w:szCs w:val="22"/>
              </w:rPr>
            </w:pPr>
          </w:p>
        </w:tc>
        <w:tc>
          <w:tcPr>
            <w:tcW w:w="1134" w:type="dxa"/>
            <w:gridSpan w:val="2"/>
            <w:tcBorders>
              <w:top w:val="nil"/>
              <w:left w:val="nil"/>
              <w:bottom w:val="single" w:color="auto" w:sz="4" w:space="0"/>
              <w:right w:val="single" w:color="auto" w:sz="4" w:space="0"/>
            </w:tcBorders>
            <w:noWrap w:val="0"/>
            <w:vAlign w:val="center"/>
          </w:tcPr>
          <w:p w14:paraId="304FB8DB">
            <w:pPr>
              <w:widowControl/>
              <w:spacing w:line="0" w:lineRule="atLeast"/>
              <w:jc w:val="left"/>
              <w:rPr>
                <w:rFonts w:ascii="Calibri" w:hAnsi="Calibri" w:eastAsia="宋体" w:cs="Times New Roman"/>
                <w:color w:val="000000"/>
                <w:kern w:val="0"/>
                <w:sz w:val="22"/>
                <w:szCs w:val="22"/>
              </w:rPr>
            </w:pPr>
          </w:p>
        </w:tc>
        <w:tc>
          <w:tcPr>
            <w:tcW w:w="709" w:type="dxa"/>
            <w:gridSpan w:val="2"/>
            <w:tcBorders>
              <w:top w:val="nil"/>
              <w:left w:val="nil"/>
              <w:bottom w:val="single" w:color="auto" w:sz="4" w:space="0"/>
              <w:right w:val="single" w:color="auto" w:sz="4" w:space="0"/>
            </w:tcBorders>
            <w:noWrap w:val="0"/>
            <w:vAlign w:val="center"/>
          </w:tcPr>
          <w:p w14:paraId="4B2A68B8">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c>
          <w:tcPr>
            <w:tcW w:w="851" w:type="dxa"/>
            <w:gridSpan w:val="2"/>
            <w:tcBorders>
              <w:top w:val="single" w:color="auto" w:sz="4" w:space="0"/>
              <w:left w:val="nil"/>
              <w:bottom w:val="single" w:color="auto" w:sz="4" w:space="0"/>
              <w:right w:val="single" w:color="auto" w:sz="4" w:space="0"/>
            </w:tcBorders>
            <w:noWrap w:val="0"/>
            <w:vAlign w:val="center"/>
          </w:tcPr>
          <w:p w14:paraId="52740276">
            <w:pPr>
              <w:widowControl/>
              <w:spacing w:line="0" w:lineRule="atLeast"/>
              <w:jc w:val="left"/>
              <w:rPr>
                <w:rFonts w:ascii="Calibri" w:hAnsi="Calibri" w:eastAsia="宋体" w:cs="Times New Roman"/>
                <w:color w:val="000000"/>
                <w:kern w:val="0"/>
                <w:sz w:val="22"/>
                <w:szCs w:val="22"/>
              </w:rPr>
            </w:pPr>
          </w:p>
        </w:tc>
        <w:tc>
          <w:tcPr>
            <w:tcW w:w="708" w:type="dxa"/>
            <w:tcBorders>
              <w:top w:val="nil"/>
              <w:left w:val="nil"/>
              <w:bottom w:val="single" w:color="auto" w:sz="4" w:space="0"/>
              <w:right w:val="single" w:color="auto" w:sz="4" w:space="0"/>
            </w:tcBorders>
            <w:noWrap w:val="0"/>
            <w:vAlign w:val="center"/>
          </w:tcPr>
          <w:p w14:paraId="25A9A3A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r>
      <w:tr w14:paraId="7F6597A4">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D18CDD7">
            <w:pPr>
              <w:widowControl/>
              <w:spacing w:line="0" w:lineRule="atLeast"/>
              <w:jc w:val="left"/>
              <w:rPr>
                <w:rFonts w:ascii="Calibri" w:hAnsi="Calibri" w:eastAsia="宋体" w:cs="Times New Roman"/>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noWrap w:val="0"/>
            <w:vAlign w:val="center"/>
          </w:tcPr>
          <w:p w14:paraId="3EB0398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 xml:space="preserve">  其他资金</w:t>
            </w:r>
          </w:p>
        </w:tc>
        <w:tc>
          <w:tcPr>
            <w:tcW w:w="1134" w:type="dxa"/>
            <w:tcBorders>
              <w:top w:val="nil"/>
              <w:left w:val="nil"/>
              <w:bottom w:val="single" w:color="auto" w:sz="4" w:space="0"/>
              <w:right w:val="single" w:color="auto" w:sz="4" w:space="0"/>
            </w:tcBorders>
            <w:noWrap w:val="0"/>
            <w:vAlign w:val="center"/>
          </w:tcPr>
          <w:p w14:paraId="1C650DE5">
            <w:pPr>
              <w:widowControl/>
              <w:spacing w:line="0" w:lineRule="atLeast"/>
              <w:jc w:val="left"/>
              <w:rPr>
                <w:rFonts w:ascii="Calibri" w:hAnsi="Calibri" w:eastAsia="宋体" w:cs="Times New Roman"/>
                <w:color w:val="000000"/>
                <w:kern w:val="0"/>
                <w:sz w:val="22"/>
                <w:szCs w:val="22"/>
              </w:rPr>
            </w:pPr>
          </w:p>
        </w:tc>
        <w:tc>
          <w:tcPr>
            <w:tcW w:w="1134" w:type="dxa"/>
            <w:gridSpan w:val="2"/>
            <w:tcBorders>
              <w:top w:val="nil"/>
              <w:left w:val="nil"/>
              <w:bottom w:val="single" w:color="auto" w:sz="4" w:space="0"/>
              <w:right w:val="single" w:color="auto" w:sz="4" w:space="0"/>
            </w:tcBorders>
            <w:noWrap w:val="0"/>
            <w:vAlign w:val="center"/>
          </w:tcPr>
          <w:p w14:paraId="26AE6989">
            <w:pPr>
              <w:widowControl/>
              <w:spacing w:line="0" w:lineRule="atLeast"/>
              <w:jc w:val="left"/>
              <w:rPr>
                <w:rFonts w:ascii="Calibri" w:hAnsi="Calibri" w:eastAsia="宋体" w:cs="Times New Roman"/>
                <w:color w:val="000000"/>
                <w:kern w:val="0"/>
                <w:sz w:val="22"/>
                <w:szCs w:val="22"/>
              </w:rPr>
            </w:pPr>
          </w:p>
        </w:tc>
        <w:tc>
          <w:tcPr>
            <w:tcW w:w="1134" w:type="dxa"/>
            <w:gridSpan w:val="2"/>
            <w:tcBorders>
              <w:top w:val="nil"/>
              <w:left w:val="nil"/>
              <w:bottom w:val="single" w:color="auto" w:sz="4" w:space="0"/>
              <w:right w:val="single" w:color="auto" w:sz="4" w:space="0"/>
            </w:tcBorders>
            <w:noWrap w:val="0"/>
            <w:vAlign w:val="center"/>
          </w:tcPr>
          <w:p w14:paraId="36D33B91">
            <w:pPr>
              <w:widowControl/>
              <w:spacing w:line="0" w:lineRule="atLeast"/>
              <w:jc w:val="left"/>
              <w:rPr>
                <w:rFonts w:ascii="Calibri" w:hAnsi="Calibri" w:eastAsia="宋体" w:cs="Times New Roman"/>
                <w:color w:val="000000"/>
                <w:kern w:val="0"/>
                <w:sz w:val="22"/>
                <w:szCs w:val="22"/>
              </w:rPr>
            </w:pPr>
          </w:p>
        </w:tc>
        <w:tc>
          <w:tcPr>
            <w:tcW w:w="709" w:type="dxa"/>
            <w:gridSpan w:val="2"/>
            <w:tcBorders>
              <w:top w:val="nil"/>
              <w:left w:val="nil"/>
              <w:bottom w:val="single" w:color="auto" w:sz="4" w:space="0"/>
              <w:right w:val="single" w:color="auto" w:sz="4" w:space="0"/>
            </w:tcBorders>
            <w:noWrap w:val="0"/>
            <w:vAlign w:val="center"/>
          </w:tcPr>
          <w:p w14:paraId="129AC957">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c>
          <w:tcPr>
            <w:tcW w:w="851" w:type="dxa"/>
            <w:gridSpan w:val="2"/>
            <w:tcBorders>
              <w:top w:val="single" w:color="auto" w:sz="4" w:space="0"/>
              <w:left w:val="nil"/>
              <w:bottom w:val="single" w:color="auto" w:sz="4" w:space="0"/>
              <w:right w:val="single" w:color="auto" w:sz="4" w:space="0"/>
            </w:tcBorders>
            <w:noWrap w:val="0"/>
            <w:vAlign w:val="center"/>
          </w:tcPr>
          <w:p w14:paraId="569F12D9">
            <w:pPr>
              <w:widowControl/>
              <w:spacing w:line="0" w:lineRule="atLeast"/>
              <w:jc w:val="left"/>
              <w:rPr>
                <w:rFonts w:ascii="Calibri" w:hAnsi="Calibri" w:eastAsia="宋体" w:cs="Times New Roman"/>
                <w:color w:val="000000"/>
                <w:kern w:val="0"/>
                <w:sz w:val="22"/>
                <w:szCs w:val="22"/>
              </w:rPr>
            </w:pPr>
          </w:p>
        </w:tc>
        <w:tc>
          <w:tcPr>
            <w:tcW w:w="708" w:type="dxa"/>
            <w:tcBorders>
              <w:top w:val="nil"/>
              <w:left w:val="nil"/>
              <w:bottom w:val="single" w:color="auto" w:sz="4" w:space="0"/>
              <w:right w:val="single" w:color="auto" w:sz="4" w:space="0"/>
            </w:tcBorders>
            <w:noWrap w:val="0"/>
            <w:vAlign w:val="center"/>
          </w:tcPr>
          <w:p w14:paraId="5B06E3F7">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r>
      <w:tr w14:paraId="7BECFB36">
        <w:tblPrEx>
          <w:tblCellMar>
            <w:top w:w="0" w:type="dxa"/>
            <w:left w:w="108" w:type="dxa"/>
            <w:bottom w:w="0" w:type="dxa"/>
            <w:right w:w="108" w:type="dxa"/>
          </w:tblCellMar>
        </w:tblPrEx>
        <w:trPr>
          <w:trHeight w:val="305"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14:paraId="6B1AFB9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14:paraId="516FA44D">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14:paraId="6424DEF4">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实际完成情况</w:t>
            </w:r>
          </w:p>
        </w:tc>
      </w:tr>
      <w:tr w14:paraId="606955A9">
        <w:tblPrEx>
          <w:tblCellMar>
            <w:top w:w="0" w:type="dxa"/>
            <w:left w:w="108" w:type="dxa"/>
            <w:bottom w:w="0" w:type="dxa"/>
            <w:right w:w="108" w:type="dxa"/>
          </w:tblCellMar>
        </w:tblPrEx>
        <w:trPr>
          <w:trHeight w:val="133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0FC1096A">
            <w:pPr>
              <w:widowControl/>
              <w:spacing w:line="0" w:lineRule="atLeast"/>
              <w:jc w:val="left"/>
              <w:rPr>
                <w:rFonts w:ascii="Calibri" w:hAnsi="Calibri" w:eastAsia="宋体" w:cs="Times New Roman"/>
                <w:color w:val="000000"/>
                <w:kern w:val="0"/>
                <w:sz w:val="22"/>
                <w:szCs w:val="22"/>
              </w:rPr>
            </w:pPr>
          </w:p>
        </w:tc>
        <w:tc>
          <w:tcPr>
            <w:tcW w:w="5090" w:type="dxa"/>
            <w:gridSpan w:val="6"/>
            <w:tcBorders>
              <w:top w:val="single" w:color="auto" w:sz="4" w:space="0"/>
              <w:left w:val="nil"/>
              <w:bottom w:val="single" w:color="auto" w:sz="4" w:space="0"/>
              <w:right w:val="single" w:color="auto" w:sz="4" w:space="0"/>
            </w:tcBorders>
            <w:noWrap w:val="0"/>
            <w:vAlign w:val="center"/>
          </w:tcPr>
          <w:p w14:paraId="7EE03A1B">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完成202</w:t>
            </w:r>
            <w:r>
              <w:rPr>
                <w:rFonts w:hint="eastAsia" w:ascii="Calibri" w:hAnsi="Calibri" w:eastAsia="宋体" w:cs="Times New Roman"/>
                <w:color w:val="000000"/>
                <w:kern w:val="0"/>
                <w:sz w:val="22"/>
                <w:szCs w:val="22"/>
                <w:lang w:val="en-US" w:eastAsia="zh-CN"/>
              </w:rPr>
              <w:t>2</w:t>
            </w:r>
            <w:r>
              <w:rPr>
                <w:rFonts w:hint="eastAsia" w:ascii="Calibri" w:hAnsi="Calibri" w:eastAsia="宋体" w:cs="Times New Roman"/>
                <w:color w:val="000000"/>
                <w:kern w:val="0"/>
                <w:sz w:val="22"/>
                <w:szCs w:val="22"/>
              </w:rPr>
              <w:t>年度</w:t>
            </w:r>
            <w:r>
              <w:rPr>
                <w:rFonts w:hint="eastAsia" w:ascii="Calibri" w:hAnsi="Calibri" w:eastAsia="宋体" w:cs="Times New Roman"/>
                <w:color w:val="000000"/>
                <w:kern w:val="0"/>
                <w:sz w:val="22"/>
                <w:szCs w:val="22"/>
                <w:lang w:eastAsia="zh-CN"/>
              </w:rPr>
              <w:t>新建</w:t>
            </w:r>
            <w:r>
              <w:rPr>
                <w:rFonts w:hint="eastAsia" w:ascii="Calibri" w:hAnsi="Calibri" w:eastAsia="宋体" w:cs="Times New Roman"/>
                <w:color w:val="000000"/>
                <w:kern w:val="0"/>
                <w:sz w:val="22"/>
                <w:szCs w:val="22"/>
              </w:rPr>
              <w:t>、</w:t>
            </w:r>
            <w:r>
              <w:rPr>
                <w:rFonts w:hint="eastAsia" w:ascii="Calibri" w:hAnsi="Calibri" w:eastAsia="宋体" w:cs="Times New Roman"/>
                <w:color w:val="000000"/>
                <w:kern w:val="0"/>
                <w:sz w:val="22"/>
                <w:szCs w:val="22"/>
                <w:lang w:eastAsia="zh-CN"/>
              </w:rPr>
              <w:t>袁家、接龙</w:t>
            </w:r>
            <w:r>
              <w:rPr>
                <w:rFonts w:hint="eastAsia" w:ascii="Calibri" w:hAnsi="Calibri" w:eastAsia="宋体" w:cs="Times New Roman"/>
                <w:color w:val="000000"/>
                <w:kern w:val="0"/>
                <w:sz w:val="22"/>
                <w:szCs w:val="22"/>
              </w:rPr>
              <w:t>和</w:t>
            </w:r>
            <w:r>
              <w:rPr>
                <w:rFonts w:hint="eastAsia" w:ascii="Calibri" w:hAnsi="Calibri" w:eastAsia="宋体" w:cs="Times New Roman"/>
                <w:color w:val="000000"/>
                <w:kern w:val="0"/>
                <w:sz w:val="22"/>
                <w:szCs w:val="22"/>
                <w:lang w:eastAsia="zh-CN"/>
              </w:rPr>
              <w:t>铁坡</w:t>
            </w:r>
            <w:r>
              <w:rPr>
                <w:rFonts w:hint="eastAsia" w:ascii="Calibri" w:hAnsi="Calibri" w:eastAsia="宋体" w:cs="Times New Roman"/>
                <w:color w:val="000000"/>
                <w:kern w:val="0"/>
                <w:sz w:val="22"/>
                <w:szCs w:val="22"/>
              </w:rPr>
              <w:t>镇污水处理设施及配套管网工程项目及</w:t>
            </w:r>
            <w:r>
              <w:rPr>
                <w:rFonts w:hint="eastAsia" w:ascii="Calibri" w:hAnsi="Calibri" w:eastAsia="宋体" w:cs="Times New Roman"/>
                <w:color w:val="000000"/>
                <w:kern w:val="0"/>
                <w:sz w:val="22"/>
                <w:szCs w:val="22"/>
                <w:lang w:eastAsia="zh-CN"/>
              </w:rPr>
              <w:t>新建</w:t>
            </w:r>
            <w:r>
              <w:rPr>
                <w:rFonts w:hint="eastAsia" w:ascii="Calibri" w:hAnsi="Calibri" w:eastAsia="宋体" w:cs="Times New Roman"/>
                <w:color w:val="000000"/>
                <w:kern w:val="0"/>
                <w:sz w:val="22"/>
                <w:szCs w:val="22"/>
              </w:rPr>
              <w:t>、</w:t>
            </w:r>
            <w:r>
              <w:rPr>
                <w:rFonts w:hint="eastAsia" w:ascii="Calibri" w:hAnsi="Calibri" w:eastAsia="宋体" w:cs="Times New Roman"/>
                <w:color w:val="000000"/>
                <w:kern w:val="0"/>
                <w:sz w:val="22"/>
                <w:szCs w:val="22"/>
                <w:lang w:eastAsia="zh-CN"/>
              </w:rPr>
              <w:t>袁家、接龙</w:t>
            </w:r>
            <w:r>
              <w:rPr>
                <w:rFonts w:hint="eastAsia" w:ascii="Calibri" w:hAnsi="Calibri" w:eastAsia="宋体" w:cs="Times New Roman"/>
                <w:color w:val="000000"/>
                <w:kern w:val="0"/>
                <w:sz w:val="22"/>
                <w:szCs w:val="22"/>
              </w:rPr>
              <w:t>和</w:t>
            </w:r>
            <w:r>
              <w:rPr>
                <w:rFonts w:hint="eastAsia" w:ascii="Calibri" w:hAnsi="Calibri" w:eastAsia="宋体" w:cs="Times New Roman"/>
                <w:color w:val="000000"/>
                <w:kern w:val="0"/>
                <w:sz w:val="22"/>
                <w:szCs w:val="22"/>
                <w:lang w:eastAsia="zh-CN"/>
              </w:rPr>
              <w:t>铁坡</w:t>
            </w:r>
            <w:r>
              <w:rPr>
                <w:rFonts w:hint="eastAsia" w:ascii="Calibri" w:hAnsi="Calibri" w:eastAsia="宋体" w:cs="Times New Roman"/>
                <w:color w:val="000000"/>
                <w:kern w:val="0"/>
                <w:sz w:val="22"/>
                <w:szCs w:val="22"/>
              </w:rPr>
              <w:t>镇污水处理一体化设备采购项目，并投入运营。</w:t>
            </w:r>
          </w:p>
        </w:tc>
        <w:tc>
          <w:tcPr>
            <w:tcW w:w="3402" w:type="dxa"/>
            <w:gridSpan w:val="7"/>
            <w:tcBorders>
              <w:top w:val="single" w:color="auto" w:sz="4" w:space="0"/>
              <w:left w:val="nil"/>
              <w:bottom w:val="single" w:color="auto" w:sz="4" w:space="0"/>
              <w:right w:val="single" w:color="auto" w:sz="4" w:space="0"/>
            </w:tcBorders>
            <w:noWrap w:val="0"/>
            <w:vAlign w:val="center"/>
          </w:tcPr>
          <w:p w14:paraId="1D7E51C1">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完成202</w:t>
            </w:r>
            <w:r>
              <w:rPr>
                <w:rFonts w:hint="eastAsia" w:ascii="Calibri" w:hAnsi="Calibri" w:eastAsia="宋体" w:cs="Times New Roman"/>
                <w:color w:val="000000"/>
                <w:kern w:val="0"/>
                <w:sz w:val="22"/>
                <w:szCs w:val="22"/>
                <w:lang w:val="en-US" w:eastAsia="zh-CN"/>
              </w:rPr>
              <w:t>2</w:t>
            </w:r>
            <w:r>
              <w:rPr>
                <w:rFonts w:hint="eastAsia" w:ascii="Calibri" w:hAnsi="Calibri" w:eastAsia="宋体" w:cs="Times New Roman"/>
                <w:color w:val="000000"/>
                <w:kern w:val="0"/>
                <w:sz w:val="22"/>
                <w:szCs w:val="22"/>
              </w:rPr>
              <w:t>年度</w:t>
            </w:r>
            <w:r>
              <w:rPr>
                <w:rFonts w:hint="eastAsia" w:ascii="Calibri" w:hAnsi="Calibri" w:eastAsia="宋体" w:cs="Times New Roman"/>
                <w:color w:val="000000"/>
                <w:kern w:val="0"/>
                <w:sz w:val="22"/>
                <w:szCs w:val="22"/>
                <w:lang w:eastAsia="zh-CN"/>
              </w:rPr>
              <w:t>新建</w:t>
            </w:r>
            <w:r>
              <w:rPr>
                <w:rFonts w:hint="eastAsia" w:ascii="Calibri" w:hAnsi="Calibri" w:eastAsia="宋体" w:cs="Times New Roman"/>
                <w:color w:val="000000"/>
                <w:kern w:val="0"/>
                <w:sz w:val="22"/>
                <w:szCs w:val="22"/>
              </w:rPr>
              <w:t>、</w:t>
            </w:r>
            <w:r>
              <w:rPr>
                <w:rFonts w:hint="eastAsia" w:ascii="Calibri" w:hAnsi="Calibri" w:eastAsia="宋体" w:cs="Times New Roman"/>
                <w:color w:val="000000"/>
                <w:kern w:val="0"/>
                <w:sz w:val="22"/>
                <w:szCs w:val="22"/>
                <w:lang w:eastAsia="zh-CN"/>
              </w:rPr>
              <w:t>袁家、接龙</w:t>
            </w:r>
            <w:r>
              <w:rPr>
                <w:rFonts w:hint="eastAsia" w:ascii="Calibri" w:hAnsi="Calibri" w:eastAsia="宋体" w:cs="Times New Roman"/>
                <w:color w:val="000000"/>
                <w:kern w:val="0"/>
                <w:sz w:val="22"/>
                <w:szCs w:val="22"/>
              </w:rPr>
              <w:t>和</w:t>
            </w:r>
            <w:r>
              <w:rPr>
                <w:rFonts w:hint="eastAsia" w:ascii="Calibri" w:hAnsi="Calibri" w:eastAsia="宋体" w:cs="Times New Roman"/>
                <w:color w:val="000000"/>
                <w:kern w:val="0"/>
                <w:sz w:val="22"/>
                <w:szCs w:val="22"/>
                <w:lang w:eastAsia="zh-CN"/>
              </w:rPr>
              <w:t>铁坡</w:t>
            </w:r>
            <w:r>
              <w:rPr>
                <w:rFonts w:hint="eastAsia" w:ascii="Calibri" w:hAnsi="Calibri" w:eastAsia="宋体" w:cs="Times New Roman"/>
                <w:color w:val="000000"/>
                <w:kern w:val="0"/>
                <w:sz w:val="22"/>
                <w:szCs w:val="22"/>
              </w:rPr>
              <w:t>镇污水处理设施及配套管网工程项目及</w:t>
            </w:r>
            <w:r>
              <w:rPr>
                <w:rFonts w:hint="eastAsia" w:ascii="Calibri" w:hAnsi="Calibri" w:eastAsia="宋体" w:cs="Times New Roman"/>
                <w:color w:val="000000"/>
                <w:kern w:val="0"/>
                <w:sz w:val="22"/>
                <w:szCs w:val="22"/>
                <w:lang w:eastAsia="zh-CN"/>
              </w:rPr>
              <w:t>新建</w:t>
            </w:r>
            <w:r>
              <w:rPr>
                <w:rFonts w:hint="eastAsia" w:ascii="Calibri" w:hAnsi="Calibri" w:eastAsia="宋体" w:cs="Times New Roman"/>
                <w:color w:val="000000"/>
                <w:kern w:val="0"/>
                <w:sz w:val="22"/>
                <w:szCs w:val="22"/>
              </w:rPr>
              <w:t>、</w:t>
            </w:r>
            <w:r>
              <w:rPr>
                <w:rFonts w:hint="eastAsia" w:ascii="Calibri" w:hAnsi="Calibri" w:eastAsia="宋体" w:cs="Times New Roman"/>
                <w:color w:val="000000"/>
                <w:kern w:val="0"/>
                <w:sz w:val="22"/>
                <w:szCs w:val="22"/>
                <w:lang w:eastAsia="zh-CN"/>
              </w:rPr>
              <w:t>袁家、接龙</w:t>
            </w:r>
            <w:r>
              <w:rPr>
                <w:rFonts w:hint="eastAsia" w:ascii="Calibri" w:hAnsi="Calibri" w:eastAsia="宋体" w:cs="Times New Roman"/>
                <w:color w:val="000000"/>
                <w:kern w:val="0"/>
                <w:sz w:val="22"/>
                <w:szCs w:val="22"/>
              </w:rPr>
              <w:t>和</w:t>
            </w:r>
            <w:r>
              <w:rPr>
                <w:rFonts w:hint="eastAsia" w:ascii="Calibri" w:hAnsi="Calibri" w:eastAsia="宋体" w:cs="Times New Roman"/>
                <w:color w:val="000000"/>
                <w:kern w:val="0"/>
                <w:sz w:val="22"/>
                <w:szCs w:val="22"/>
                <w:lang w:eastAsia="zh-CN"/>
              </w:rPr>
              <w:t>铁坡</w:t>
            </w:r>
            <w:r>
              <w:rPr>
                <w:rFonts w:hint="eastAsia" w:ascii="Calibri" w:hAnsi="Calibri" w:eastAsia="宋体" w:cs="Times New Roman"/>
                <w:color w:val="000000"/>
                <w:kern w:val="0"/>
                <w:sz w:val="22"/>
                <w:szCs w:val="22"/>
              </w:rPr>
              <w:t>镇污水处理一体化设备采购项目，并投入运营。</w:t>
            </w:r>
          </w:p>
        </w:tc>
      </w:tr>
      <w:tr w14:paraId="3F32E1C7">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14:paraId="00B1CFE7">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rPr>
              <w:t>绩</w:t>
            </w:r>
          </w:p>
          <w:p w14:paraId="5485AC44">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rPr>
              <w:t>效</w:t>
            </w:r>
          </w:p>
          <w:p w14:paraId="279EA193">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rPr>
              <w:t>指</w:t>
            </w:r>
          </w:p>
          <w:p w14:paraId="09811D08">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标</w:t>
            </w:r>
          </w:p>
        </w:tc>
        <w:tc>
          <w:tcPr>
            <w:tcW w:w="980" w:type="dxa"/>
            <w:tcBorders>
              <w:top w:val="nil"/>
              <w:left w:val="nil"/>
              <w:bottom w:val="single" w:color="auto" w:sz="4" w:space="0"/>
              <w:right w:val="single" w:color="auto" w:sz="4" w:space="0"/>
            </w:tcBorders>
            <w:noWrap w:val="0"/>
            <w:vAlign w:val="center"/>
          </w:tcPr>
          <w:p w14:paraId="253C43D4">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一级指标</w:t>
            </w:r>
          </w:p>
        </w:tc>
        <w:tc>
          <w:tcPr>
            <w:tcW w:w="1112" w:type="dxa"/>
            <w:tcBorders>
              <w:top w:val="nil"/>
              <w:left w:val="nil"/>
              <w:bottom w:val="single" w:color="auto" w:sz="4" w:space="0"/>
              <w:right w:val="single" w:color="auto" w:sz="4" w:space="0"/>
            </w:tcBorders>
            <w:noWrap w:val="0"/>
            <w:vAlign w:val="center"/>
          </w:tcPr>
          <w:p w14:paraId="64F4852E">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二级指标</w:t>
            </w:r>
          </w:p>
        </w:tc>
        <w:tc>
          <w:tcPr>
            <w:tcW w:w="2138" w:type="dxa"/>
            <w:gridSpan w:val="3"/>
            <w:tcBorders>
              <w:top w:val="single" w:color="auto" w:sz="4" w:space="0"/>
              <w:left w:val="nil"/>
              <w:bottom w:val="single" w:color="auto" w:sz="4" w:space="0"/>
              <w:right w:val="single" w:color="auto" w:sz="4" w:space="0"/>
            </w:tcBorders>
            <w:noWrap w:val="0"/>
            <w:vAlign w:val="center"/>
          </w:tcPr>
          <w:p w14:paraId="3A1B5F3E">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三级指标</w:t>
            </w:r>
          </w:p>
        </w:tc>
        <w:tc>
          <w:tcPr>
            <w:tcW w:w="860" w:type="dxa"/>
            <w:tcBorders>
              <w:top w:val="nil"/>
              <w:left w:val="nil"/>
              <w:bottom w:val="single" w:color="auto" w:sz="4" w:space="0"/>
              <w:right w:val="single" w:color="auto" w:sz="4" w:space="0"/>
            </w:tcBorders>
            <w:noWrap w:val="0"/>
            <w:vAlign w:val="center"/>
          </w:tcPr>
          <w:p w14:paraId="465AD20F">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年度</w:t>
            </w:r>
          </w:p>
          <w:p w14:paraId="116C6862">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指标值</w:t>
            </w:r>
          </w:p>
        </w:tc>
        <w:tc>
          <w:tcPr>
            <w:tcW w:w="851" w:type="dxa"/>
            <w:tcBorders>
              <w:top w:val="nil"/>
              <w:left w:val="nil"/>
              <w:bottom w:val="single" w:color="auto" w:sz="4" w:space="0"/>
              <w:right w:val="single" w:color="auto" w:sz="4" w:space="0"/>
            </w:tcBorders>
            <w:noWrap w:val="0"/>
            <w:vAlign w:val="center"/>
          </w:tcPr>
          <w:p w14:paraId="38A61512">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实际</w:t>
            </w:r>
          </w:p>
          <w:p w14:paraId="47545904">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完成值</w:t>
            </w:r>
          </w:p>
        </w:tc>
        <w:tc>
          <w:tcPr>
            <w:tcW w:w="567" w:type="dxa"/>
            <w:gridSpan w:val="2"/>
            <w:tcBorders>
              <w:top w:val="nil"/>
              <w:left w:val="nil"/>
              <w:bottom w:val="single" w:color="auto" w:sz="4" w:space="0"/>
              <w:right w:val="single" w:color="auto" w:sz="4" w:space="0"/>
            </w:tcBorders>
            <w:noWrap w:val="0"/>
            <w:vAlign w:val="center"/>
          </w:tcPr>
          <w:p w14:paraId="50DC5AF3">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分值</w:t>
            </w:r>
          </w:p>
        </w:tc>
        <w:tc>
          <w:tcPr>
            <w:tcW w:w="567" w:type="dxa"/>
            <w:gridSpan w:val="2"/>
            <w:tcBorders>
              <w:top w:val="nil"/>
              <w:left w:val="nil"/>
              <w:bottom w:val="single" w:color="auto" w:sz="4" w:space="0"/>
              <w:right w:val="single" w:color="auto" w:sz="4" w:space="0"/>
            </w:tcBorders>
            <w:noWrap w:val="0"/>
            <w:vAlign w:val="center"/>
          </w:tcPr>
          <w:p w14:paraId="25A77CFD">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得分</w:t>
            </w:r>
          </w:p>
        </w:tc>
        <w:tc>
          <w:tcPr>
            <w:tcW w:w="1417" w:type="dxa"/>
            <w:gridSpan w:val="2"/>
            <w:tcBorders>
              <w:top w:val="single" w:color="auto" w:sz="4" w:space="0"/>
              <w:left w:val="nil"/>
              <w:bottom w:val="single" w:color="auto" w:sz="4" w:space="0"/>
              <w:right w:val="single" w:color="auto" w:sz="4" w:space="0"/>
            </w:tcBorders>
            <w:noWrap w:val="0"/>
            <w:vAlign w:val="center"/>
          </w:tcPr>
          <w:p w14:paraId="3C28959C">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偏差原因分析及改进措施</w:t>
            </w:r>
          </w:p>
        </w:tc>
      </w:tr>
      <w:tr w14:paraId="36260B85">
        <w:tblPrEx>
          <w:tblCellMar>
            <w:top w:w="0" w:type="dxa"/>
            <w:left w:w="108" w:type="dxa"/>
            <w:bottom w:w="0" w:type="dxa"/>
            <w:right w:w="108" w:type="dxa"/>
          </w:tblCellMar>
        </w:tblPrEx>
        <w:trPr>
          <w:trHeight w:val="435" w:hRule="exact"/>
          <w:jc w:val="center"/>
        </w:trPr>
        <w:tc>
          <w:tcPr>
            <w:tcW w:w="588" w:type="dxa"/>
            <w:vMerge w:val="continue"/>
            <w:tcBorders>
              <w:left w:val="single" w:color="auto" w:sz="4" w:space="0"/>
              <w:right w:val="single" w:color="auto" w:sz="4" w:space="0"/>
            </w:tcBorders>
            <w:noWrap w:val="0"/>
            <w:vAlign w:val="center"/>
          </w:tcPr>
          <w:p w14:paraId="1EE8CC4D">
            <w:pPr>
              <w:widowControl/>
              <w:spacing w:line="0" w:lineRule="atLeast"/>
              <w:jc w:val="left"/>
              <w:rPr>
                <w:rFonts w:ascii="Calibri" w:hAnsi="Calibri" w:eastAsia="宋体" w:cs="Times New Roman"/>
                <w:color w:val="000000"/>
                <w:kern w:val="0"/>
                <w:sz w:val="22"/>
                <w:szCs w:val="22"/>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40F93079">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产出指标(50分)</w:t>
            </w:r>
          </w:p>
        </w:tc>
        <w:tc>
          <w:tcPr>
            <w:tcW w:w="1112" w:type="dxa"/>
            <w:vMerge w:val="restart"/>
            <w:tcBorders>
              <w:top w:val="nil"/>
              <w:left w:val="single" w:color="auto" w:sz="4" w:space="0"/>
              <w:bottom w:val="single" w:color="auto" w:sz="4" w:space="0"/>
              <w:right w:val="single" w:color="auto" w:sz="4" w:space="0"/>
            </w:tcBorders>
            <w:noWrap w:val="0"/>
            <w:vAlign w:val="center"/>
          </w:tcPr>
          <w:p w14:paraId="71135D30">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数量指标</w:t>
            </w:r>
          </w:p>
        </w:tc>
        <w:tc>
          <w:tcPr>
            <w:tcW w:w="2138" w:type="dxa"/>
            <w:gridSpan w:val="3"/>
            <w:tcBorders>
              <w:top w:val="single" w:color="auto" w:sz="4" w:space="0"/>
              <w:left w:val="nil"/>
              <w:bottom w:val="single" w:color="auto" w:sz="4" w:space="0"/>
              <w:right w:val="single" w:color="auto" w:sz="4" w:space="0"/>
            </w:tcBorders>
            <w:noWrap w:val="0"/>
            <w:vAlign w:val="center"/>
          </w:tcPr>
          <w:p w14:paraId="183E50B0">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日处理污水规模</w:t>
            </w:r>
          </w:p>
        </w:tc>
        <w:tc>
          <w:tcPr>
            <w:tcW w:w="860" w:type="dxa"/>
            <w:tcBorders>
              <w:top w:val="nil"/>
              <w:left w:val="nil"/>
              <w:bottom w:val="single" w:color="auto" w:sz="4" w:space="0"/>
              <w:right w:val="single" w:color="auto" w:sz="4" w:space="0"/>
            </w:tcBorders>
            <w:noWrap w:val="0"/>
            <w:vAlign w:val="center"/>
          </w:tcPr>
          <w:p w14:paraId="70C2FE57">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1000吨/日</w:t>
            </w:r>
          </w:p>
        </w:tc>
        <w:tc>
          <w:tcPr>
            <w:tcW w:w="851" w:type="dxa"/>
            <w:tcBorders>
              <w:top w:val="nil"/>
              <w:left w:val="nil"/>
              <w:bottom w:val="single" w:color="auto" w:sz="4" w:space="0"/>
              <w:right w:val="single" w:color="auto" w:sz="4" w:space="0"/>
            </w:tcBorders>
            <w:noWrap w:val="0"/>
            <w:vAlign w:val="center"/>
          </w:tcPr>
          <w:p w14:paraId="74BF0B81">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rPr>
              <w:t>1000吨/日</w:t>
            </w:r>
          </w:p>
        </w:tc>
        <w:tc>
          <w:tcPr>
            <w:tcW w:w="567" w:type="dxa"/>
            <w:gridSpan w:val="2"/>
            <w:tcBorders>
              <w:top w:val="nil"/>
              <w:left w:val="nil"/>
              <w:bottom w:val="single" w:color="auto" w:sz="4" w:space="0"/>
              <w:right w:val="single" w:color="auto" w:sz="4" w:space="0"/>
            </w:tcBorders>
            <w:noWrap w:val="0"/>
            <w:vAlign w:val="center"/>
          </w:tcPr>
          <w:p w14:paraId="1093375B">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rPr>
              <w:t>1</w:t>
            </w:r>
            <w:r>
              <w:rPr>
                <w:rFonts w:hint="eastAsia" w:ascii="Calibri" w:hAnsi="Calibri" w:eastAsia="宋体" w:cs="Times New Roman"/>
                <w:color w:val="000000"/>
                <w:kern w:val="0"/>
                <w:sz w:val="22"/>
                <w:szCs w:val="22"/>
                <w:lang w:val="en-US" w:eastAsia="zh-CN"/>
              </w:rPr>
              <w:t>0</w:t>
            </w:r>
          </w:p>
        </w:tc>
        <w:tc>
          <w:tcPr>
            <w:tcW w:w="567" w:type="dxa"/>
            <w:gridSpan w:val="2"/>
            <w:tcBorders>
              <w:top w:val="nil"/>
              <w:left w:val="nil"/>
              <w:bottom w:val="single" w:color="auto" w:sz="4" w:space="0"/>
              <w:right w:val="single" w:color="auto" w:sz="4" w:space="0"/>
            </w:tcBorders>
            <w:noWrap w:val="0"/>
            <w:vAlign w:val="center"/>
          </w:tcPr>
          <w:p w14:paraId="4DF6505B">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14:paraId="043EEAA8">
            <w:pPr>
              <w:widowControl/>
              <w:spacing w:line="0" w:lineRule="atLeast"/>
              <w:jc w:val="left"/>
              <w:rPr>
                <w:rFonts w:hint="eastAsia" w:ascii="Calibri" w:hAnsi="Calibri" w:eastAsia="宋体" w:cs="Times New Roman"/>
                <w:color w:val="000000"/>
                <w:kern w:val="0"/>
                <w:sz w:val="22"/>
                <w:szCs w:val="22"/>
              </w:rPr>
            </w:pPr>
          </w:p>
        </w:tc>
      </w:tr>
      <w:tr w14:paraId="71F33E98">
        <w:tblPrEx>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noWrap w:val="0"/>
            <w:vAlign w:val="center"/>
          </w:tcPr>
          <w:p w14:paraId="32D6F6B3">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5023C694">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79312090">
            <w:pPr>
              <w:widowControl/>
              <w:spacing w:line="0" w:lineRule="atLeast"/>
              <w:jc w:val="left"/>
              <w:rPr>
                <w:rFonts w:hint="eastAsia" w:ascii="Calibri" w:hAnsi="Calibri" w:eastAsia="宋体" w:cs="Times New Roman"/>
                <w:color w:val="000000"/>
                <w:kern w:val="0"/>
                <w:sz w:val="22"/>
                <w:szCs w:val="22"/>
              </w:rPr>
            </w:pPr>
          </w:p>
        </w:tc>
        <w:tc>
          <w:tcPr>
            <w:tcW w:w="2138" w:type="dxa"/>
            <w:gridSpan w:val="3"/>
            <w:tcBorders>
              <w:top w:val="single" w:color="auto" w:sz="4" w:space="0"/>
              <w:left w:val="nil"/>
              <w:bottom w:val="single" w:color="auto" w:sz="4" w:space="0"/>
              <w:right w:val="single" w:color="auto" w:sz="4" w:space="0"/>
            </w:tcBorders>
            <w:noWrap w:val="0"/>
            <w:vAlign w:val="center"/>
          </w:tcPr>
          <w:p w14:paraId="7B47C129">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配套管网</w:t>
            </w:r>
          </w:p>
        </w:tc>
        <w:tc>
          <w:tcPr>
            <w:tcW w:w="860" w:type="dxa"/>
            <w:tcBorders>
              <w:top w:val="nil"/>
              <w:left w:val="nil"/>
              <w:bottom w:val="single" w:color="auto" w:sz="4" w:space="0"/>
              <w:right w:val="single" w:color="auto" w:sz="4" w:space="0"/>
            </w:tcBorders>
            <w:noWrap w:val="0"/>
            <w:vAlign w:val="center"/>
          </w:tcPr>
          <w:p w14:paraId="1F47BAC5">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11.69千米</w:t>
            </w:r>
          </w:p>
        </w:tc>
        <w:tc>
          <w:tcPr>
            <w:tcW w:w="851" w:type="dxa"/>
            <w:tcBorders>
              <w:top w:val="nil"/>
              <w:left w:val="nil"/>
              <w:bottom w:val="single" w:color="auto" w:sz="4" w:space="0"/>
              <w:right w:val="single" w:color="auto" w:sz="4" w:space="0"/>
            </w:tcBorders>
            <w:noWrap w:val="0"/>
            <w:vAlign w:val="center"/>
          </w:tcPr>
          <w:p w14:paraId="252F09F0">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11.69</w:t>
            </w:r>
          </w:p>
        </w:tc>
        <w:tc>
          <w:tcPr>
            <w:tcW w:w="567" w:type="dxa"/>
            <w:gridSpan w:val="2"/>
            <w:tcBorders>
              <w:top w:val="nil"/>
              <w:left w:val="nil"/>
              <w:bottom w:val="single" w:color="auto" w:sz="4" w:space="0"/>
              <w:right w:val="single" w:color="auto" w:sz="4" w:space="0"/>
            </w:tcBorders>
            <w:noWrap w:val="0"/>
            <w:vAlign w:val="center"/>
          </w:tcPr>
          <w:p w14:paraId="44A9E7AF">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5</w:t>
            </w:r>
          </w:p>
        </w:tc>
        <w:tc>
          <w:tcPr>
            <w:tcW w:w="567" w:type="dxa"/>
            <w:gridSpan w:val="2"/>
            <w:tcBorders>
              <w:top w:val="nil"/>
              <w:left w:val="nil"/>
              <w:bottom w:val="single" w:color="auto" w:sz="4" w:space="0"/>
              <w:right w:val="single" w:color="auto" w:sz="4" w:space="0"/>
            </w:tcBorders>
            <w:noWrap w:val="0"/>
            <w:vAlign w:val="center"/>
          </w:tcPr>
          <w:p w14:paraId="69E9AA3B">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14:paraId="1E5547BD">
            <w:pPr>
              <w:widowControl/>
              <w:spacing w:line="0" w:lineRule="atLeast"/>
              <w:jc w:val="left"/>
              <w:rPr>
                <w:rFonts w:ascii="Calibri" w:hAnsi="Calibri" w:eastAsia="宋体" w:cs="Times New Roman"/>
                <w:color w:val="000000"/>
                <w:kern w:val="0"/>
                <w:sz w:val="22"/>
                <w:szCs w:val="22"/>
              </w:rPr>
            </w:pPr>
          </w:p>
        </w:tc>
      </w:tr>
      <w:tr w14:paraId="2ED1DBA9">
        <w:tblPrEx>
          <w:tblCellMar>
            <w:top w:w="0" w:type="dxa"/>
            <w:left w:w="108" w:type="dxa"/>
            <w:bottom w:w="0" w:type="dxa"/>
            <w:right w:w="108" w:type="dxa"/>
          </w:tblCellMar>
        </w:tblPrEx>
        <w:trPr>
          <w:trHeight w:val="315" w:hRule="exact"/>
          <w:jc w:val="center"/>
        </w:trPr>
        <w:tc>
          <w:tcPr>
            <w:tcW w:w="588" w:type="dxa"/>
            <w:vMerge w:val="continue"/>
            <w:tcBorders>
              <w:left w:val="single" w:color="auto" w:sz="4" w:space="0"/>
              <w:right w:val="single" w:color="auto" w:sz="4" w:space="0"/>
            </w:tcBorders>
            <w:noWrap w:val="0"/>
            <w:vAlign w:val="center"/>
          </w:tcPr>
          <w:p w14:paraId="170D5D73">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5965AADD">
            <w:pPr>
              <w:widowControl/>
              <w:spacing w:line="0" w:lineRule="atLeast"/>
              <w:jc w:val="left"/>
              <w:rPr>
                <w:rFonts w:ascii="Calibri" w:hAnsi="Calibri" w:eastAsia="宋体" w:cs="Times New Roman"/>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1C04ED3C">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质量指标</w:t>
            </w:r>
          </w:p>
        </w:tc>
        <w:tc>
          <w:tcPr>
            <w:tcW w:w="2138" w:type="dxa"/>
            <w:gridSpan w:val="3"/>
            <w:tcBorders>
              <w:top w:val="single" w:color="auto" w:sz="4" w:space="0"/>
              <w:left w:val="nil"/>
              <w:bottom w:val="single" w:color="auto" w:sz="4" w:space="0"/>
              <w:right w:val="single" w:color="auto" w:sz="4" w:space="0"/>
            </w:tcBorders>
            <w:noWrap w:val="0"/>
            <w:vAlign w:val="center"/>
          </w:tcPr>
          <w:p w14:paraId="2295B1CF">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竣工验收合格率</w:t>
            </w:r>
          </w:p>
        </w:tc>
        <w:tc>
          <w:tcPr>
            <w:tcW w:w="860" w:type="dxa"/>
            <w:tcBorders>
              <w:top w:val="nil"/>
              <w:left w:val="nil"/>
              <w:bottom w:val="single" w:color="auto" w:sz="4" w:space="0"/>
              <w:right w:val="single" w:color="auto" w:sz="4" w:space="0"/>
            </w:tcBorders>
            <w:noWrap w:val="0"/>
            <w:vAlign w:val="center"/>
          </w:tcPr>
          <w:p w14:paraId="096DC8DC">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100%</w:t>
            </w:r>
          </w:p>
        </w:tc>
        <w:tc>
          <w:tcPr>
            <w:tcW w:w="851" w:type="dxa"/>
            <w:tcBorders>
              <w:top w:val="nil"/>
              <w:left w:val="nil"/>
              <w:bottom w:val="single" w:color="auto" w:sz="4" w:space="0"/>
              <w:right w:val="single" w:color="auto" w:sz="4" w:space="0"/>
            </w:tcBorders>
            <w:noWrap w:val="0"/>
            <w:vAlign w:val="center"/>
          </w:tcPr>
          <w:p w14:paraId="399F7009">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100%</w:t>
            </w:r>
          </w:p>
        </w:tc>
        <w:tc>
          <w:tcPr>
            <w:tcW w:w="567" w:type="dxa"/>
            <w:gridSpan w:val="2"/>
            <w:tcBorders>
              <w:top w:val="nil"/>
              <w:left w:val="nil"/>
              <w:bottom w:val="single" w:color="auto" w:sz="4" w:space="0"/>
              <w:right w:val="single" w:color="auto" w:sz="4" w:space="0"/>
            </w:tcBorders>
            <w:noWrap w:val="0"/>
            <w:vAlign w:val="center"/>
          </w:tcPr>
          <w:p w14:paraId="1E4FD489">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val="en-US" w:eastAsia="zh-CN"/>
              </w:rPr>
              <w:t>5</w:t>
            </w:r>
          </w:p>
        </w:tc>
        <w:tc>
          <w:tcPr>
            <w:tcW w:w="567" w:type="dxa"/>
            <w:gridSpan w:val="2"/>
            <w:tcBorders>
              <w:top w:val="nil"/>
              <w:left w:val="nil"/>
              <w:bottom w:val="single" w:color="auto" w:sz="4" w:space="0"/>
              <w:right w:val="single" w:color="auto" w:sz="4" w:space="0"/>
            </w:tcBorders>
            <w:noWrap w:val="0"/>
            <w:vAlign w:val="center"/>
          </w:tcPr>
          <w:p w14:paraId="5118DD86">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14:paraId="70538796">
            <w:pPr>
              <w:widowControl/>
              <w:spacing w:line="0" w:lineRule="atLeast"/>
              <w:jc w:val="left"/>
              <w:rPr>
                <w:rFonts w:ascii="Calibri" w:hAnsi="Calibri" w:eastAsia="宋体" w:cs="Times New Roman"/>
                <w:color w:val="000000"/>
                <w:kern w:val="0"/>
                <w:sz w:val="22"/>
                <w:szCs w:val="22"/>
              </w:rPr>
            </w:pPr>
          </w:p>
        </w:tc>
      </w:tr>
      <w:tr w14:paraId="5053C1A3">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0163DE87">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66397857">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701D961E">
            <w:pPr>
              <w:widowControl/>
              <w:spacing w:line="0" w:lineRule="atLeast"/>
              <w:jc w:val="left"/>
              <w:rPr>
                <w:rFonts w:ascii="Calibri" w:hAnsi="Calibri" w:eastAsia="宋体" w:cs="Times New Roman"/>
                <w:color w:val="000000"/>
                <w:kern w:val="0"/>
                <w:sz w:val="22"/>
                <w:szCs w:val="22"/>
              </w:rPr>
            </w:pPr>
          </w:p>
        </w:tc>
        <w:tc>
          <w:tcPr>
            <w:tcW w:w="2138" w:type="dxa"/>
            <w:gridSpan w:val="3"/>
            <w:tcBorders>
              <w:top w:val="single" w:color="auto" w:sz="4" w:space="0"/>
              <w:left w:val="nil"/>
              <w:bottom w:val="single" w:color="auto" w:sz="4" w:space="0"/>
              <w:right w:val="single" w:color="auto" w:sz="4" w:space="0"/>
            </w:tcBorders>
            <w:noWrap w:val="0"/>
            <w:vAlign w:val="center"/>
          </w:tcPr>
          <w:p w14:paraId="4577E0C6">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设备安装合格率</w:t>
            </w:r>
          </w:p>
        </w:tc>
        <w:tc>
          <w:tcPr>
            <w:tcW w:w="860" w:type="dxa"/>
            <w:tcBorders>
              <w:top w:val="nil"/>
              <w:left w:val="nil"/>
              <w:bottom w:val="single" w:color="auto" w:sz="4" w:space="0"/>
              <w:right w:val="single" w:color="auto" w:sz="4" w:space="0"/>
            </w:tcBorders>
            <w:noWrap w:val="0"/>
            <w:vAlign w:val="center"/>
          </w:tcPr>
          <w:p w14:paraId="07CC8BF7">
            <w:pPr>
              <w:widowControl/>
              <w:spacing w:line="0" w:lineRule="atLeast"/>
              <w:jc w:val="left"/>
              <w:rPr>
                <w:rFonts w:ascii="Calibri" w:hAnsi="Calibri" w:eastAsia="宋体" w:cs="Times New Roman"/>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58DD51DF">
            <w:pPr>
              <w:widowControl/>
              <w:spacing w:line="0" w:lineRule="atLeast"/>
              <w:jc w:val="left"/>
              <w:rPr>
                <w:rFonts w:ascii="Calibri" w:hAnsi="Calibri" w:eastAsia="宋体" w:cs="Times New Roman"/>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63F943FA">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5</w:t>
            </w:r>
          </w:p>
        </w:tc>
        <w:tc>
          <w:tcPr>
            <w:tcW w:w="567" w:type="dxa"/>
            <w:gridSpan w:val="2"/>
            <w:tcBorders>
              <w:top w:val="nil"/>
              <w:left w:val="nil"/>
              <w:bottom w:val="single" w:color="auto" w:sz="4" w:space="0"/>
              <w:right w:val="single" w:color="auto" w:sz="4" w:space="0"/>
            </w:tcBorders>
            <w:noWrap w:val="0"/>
            <w:vAlign w:val="center"/>
          </w:tcPr>
          <w:p w14:paraId="520E5F57">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4</w:t>
            </w:r>
          </w:p>
        </w:tc>
        <w:tc>
          <w:tcPr>
            <w:tcW w:w="1417" w:type="dxa"/>
            <w:gridSpan w:val="2"/>
            <w:tcBorders>
              <w:top w:val="single" w:color="auto" w:sz="4" w:space="0"/>
              <w:left w:val="nil"/>
              <w:bottom w:val="single" w:color="auto" w:sz="4" w:space="0"/>
              <w:right w:val="single" w:color="auto" w:sz="4" w:space="0"/>
            </w:tcBorders>
            <w:noWrap w:val="0"/>
            <w:vAlign w:val="center"/>
          </w:tcPr>
          <w:p w14:paraId="2BB90F2F">
            <w:pPr>
              <w:widowControl/>
              <w:spacing w:line="0" w:lineRule="atLeast"/>
              <w:jc w:val="left"/>
              <w:rPr>
                <w:rFonts w:ascii="Calibri" w:hAnsi="Calibri" w:eastAsia="宋体" w:cs="Times New Roman"/>
                <w:color w:val="000000"/>
                <w:kern w:val="0"/>
                <w:sz w:val="22"/>
                <w:szCs w:val="22"/>
              </w:rPr>
            </w:pPr>
          </w:p>
        </w:tc>
      </w:tr>
      <w:tr w14:paraId="7890E05F">
        <w:tblPrEx>
          <w:tblCellMar>
            <w:top w:w="0" w:type="dxa"/>
            <w:left w:w="108" w:type="dxa"/>
            <w:bottom w:w="0" w:type="dxa"/>
            <w:right w:w="108" w:type="dxa"/>
          </w:tblCellMar>
        </w:tblPrEx>
        <w:trPr>
          <w:trHeight w:val="360" w:hRule="exact"/>
          <w:jc w:val="center"/>
        </w:trPr>
        <w:tc>
          <w:tcPr>
            <w:tcW w:w="588" w:type="dxa"/>
            <w:vMerge w:val="continue"/>
            <w:tcBorders>
              <w:left w:val="single" w:color="auto" w:sz="4" w:space="0"/>
              <w:right w:val="single" w:color="auto" w:sz="4" w:space="0"/>
            </w:tcBorders>
            <w:noWrap w:val="0"/>
            <w:vAlign w:val="center"/>
          </w:tcPr>
          <w:p w14:paraId="5E260B2E">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0110EB41">
            <w:pPr>
              <w:widowControl/>
              <w:spacing w:line="0" w:lineRule="atLeast"/>
              <w:jc w:val="left"/>
              <w:rPr>
                <w:rFonts w:ascii="Calibri" w:hAnsi="Calibri" w:eastAsia="宋体" w:cs="Times New Roman"/>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259F2ED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时效指标</w:t>
            </w:r>
          </w:p>
        </w:tc>
        <w:tc>
          <w:tcPr>
            <w:tcW w:w="2138" w:type="dxa"/>
            <w:gridSpan w:val="3"/>
            <w:tcBorders>
              <w:top w:val="single" w:color="auto" w:sz="4" w:space="0"/>
              <w:left w:val="nil"/>
              <w:bottom w:val="single" w:color="auto" w:sz="4" w:space="0"/>
              <w:right w:val="single" w:color="auto" w:sz="4" w:space="0"/>
            </w:tcBorders>
            <w:noWrap w:val="0"/>
            <w:vAlign w:val="center"/>
          </w:tcPr>
          <w:p w14:paraId="52930652">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项目按期完成率</w:t>
            </w:r>
          </w:p>
        </w:tc>
        <w:tc>
          <w:tcPr>
            <w:tcW w:w="860" w:type="dxa"/>
            <w:tcBorders>
              <w:top w:val="nil"/>
              <w:left w:val="nil"/>
              <w:bottom w:val="single" w:color="auto" w:sz="4" w:space="0"/>
              <w:right w:val="single" w:color="auto" w:sz="4" w:space="0"/>
            </w:tcBorders>
            <w:noWrap w:val="0"/>
            <w:vAlign w:val="center"/>
          </w:tcPr>
          <w:p w14:paraId="63238237">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按合同</w:t>
            </w:r>
          </w:p>
        </w:tc>
        <w:tc>
          <w:tcPr>
            <w:tcW w:w="851" w:type="dxa"/>
            <w:tcBorders>
              <w:top w:val="nil"/>
              <w:left w:val="nil"/>
              <w:bottom w:val="single" w:color="auto" w:sz="4" w:space="0"/>
              <w:right w:val="single" w:color="auto" w:sz="4" w:space="0"/>
            </w:tcBorders>
            <w:noWrap w:val="0"/>
            <w:vAlign w:val="center"/>
          </w:tcPr>
          <w:p w14:paraId="41F5016A">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按合同</w:t>
            </w:r>
          </w:p>
        </w:tc>
        <w:tc>
          <w:tcPr>
            <w:tcW w:w="567" w:type="dxa"/>
            <w:gridSpan w:val="2"/>
            <w:tcBorders>
              <w:top w:val="nil"/>
              <w:left w:val="nil"/>
              <w:bottom w:val="single" w:color="auto" w:sz="4" w:space="0"/>
              <w:right w:val="single" w:color="auto" w:sz="4" w:space="0"/>
            </w:tcBorders>
            <w:noWrap w:val="0"/>
            <w:vAlign w:val="center"/>
          </w:tcPr>
          <w:p w14:paraId="6AF4F0A9">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5</w:t>
            </w:r>
          </w:p>
        </w:tc>
        <w:tc>
          <w:tcPr>
            <w:tcW w:w="567" w:type="dxa"/>
            <w:gridSpan w:val="2"/>
            <w:tcBorders>
              <w:top w:val="nil"/>
              <w:left w:val="nil"/>
              <w:bottom w:val="single" w:color="auto" w:sz="4" w:space="0"/>
              <w:right w:val="single" w:color="auto" w:sz="4" w:space="0"/>
            </w:tcBorders>
            <w:noWrap w:val="0"/>
            <w:vAlign w:val="center"/>
          </w:tcPr>
          <w:p w14:paraId="40060A40">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14:paraId="03DEDA89">
            <w:pPr>
              <w:widowControl/>
              <w:spacing w:line="0" w:lineRule="atLeast"/>
              <w:jc w:val="left"/>
              <w:rPr>
                <w:rFonts w:ascii="Calibri" w:hAnsi="Calibri" w:eastAsia="宋体" w:cs="Times New Roman"/>
                <w:color w:val="000000"/>
                <w:kern w:val="0"/>
                <w:sz w:val="22"/>
                <w:szCs w:val="22"/>
              </w:rPr>
            </w:pPr>
          </w:p>
        </w:tc>
      </w:tr>
      <w:tr w14:paraId="3BEBC2E0">
        <w:tblPrEx>
          <w:tblCellMar>
            <w:top w:w="0" w:type="dxa"/>
            <w:left w:w="108" w:type="dxa"/>
            <w:bottom w:w="0" w:type="dxa"/>
            <w:right w:w="108" w:type="dxa"/>
          </w:tblCellMar>
        </w:tblPrEx>
        <w:trPr>
          <w:trHeight w:val="660" w:hRule="exact"/>
          <w:jc w:val="center"/>
        </w:trPr>
        <w:tc>
          <w:tcPr>
            <w:tcW w:w="588" w:type="dxa"/>
            <w:vMerge w:val="continue"/>
            <w:tcBorders>
              <w:left w:val="single" w:color="auto" w:sz="4" w:space="0"/>
              <w:right w:val="single" w:color="auto" w:sz="4" w:space="0"/>
            </w:tcBorders>
            <w:noWrap w:val="0"/>
            <w:vAlign w:val="center"/>
          </w:tcPr>
          <w:p w14:paraId="220A2BC6">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79160F5">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796E2CAA">
            <w:pPr>
              <w:widowControl/>
              <w:spacing w:line="0" w:lineRule="atLeast"/>
              <w:jc w:val="left"/>
              <w:rPr>
                <w:rFonts w:ascii="Calibri" w:hAnsi="Calibri" w:eastAsia="宋体" w:cs="Times New Roman"/>
                <w:color w:val="000000"/>
                <w:kern w:val="0"/>
                <w:sz w:val="22"/>
                <w:szCs w:val="22"/>
              </w:rPr>
            </w:pPr>
          </w:p>
        </w:tc>
        <w:tc>
          <w:tcPr>
            <w:tcW w:w="2138" w:type="dxa"/>
            <w:gridSpan w:val="3"/>
            <w:tcBorders>
              <w:top w:val="single" w:color="auto" w:sz="4" w:space="0"/>
              <w:left w:val="nil"/>
              <w:bottom w:val="single" w:color="auto" w:sz="4" w:space="0"/>
              <w:right w:val="single" w:color="auto" w:sz="4" w:space="0"/>
            </w:tcBorders>
            <w:noWrap w:val="0"/>
            <w:vAlign w:val="center"/>
          </w:tcPr>
          <w:p w14:paraId="115C2F2A">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设备安装按期完成率</w:t>
            </w:r>
          </w:p>
        </w:tc>
        <w:tc>
          <w:tcPr>
            <w:tcW w:w="860" w:type="dxa"/>
            <w:tcBorders>
              <w:top w:val="nil"/>
              <w:left w:val="nil"/>
              <w:bottom w:val="single" w:color="auto" w:sz="4" w:space="0"/>
              <w:right w:val="single" w:color="auto" w:sz="4" w:space="0"/>
            </w:tcBorders>
            <w:noWrap w:val="0"/>
            <w:vAlign w:val="center"/>
          </w:tcPr>
          <w:p w14:paraId="5B3DBF1A">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rPr>
              <w:t>按</w:t>
            </w:r>
            <w:r>
              <w:rPr>
                <w:rFonts w:hint="eastAsia" w:ascii="Calibri" w:hAnsi="Calibri" w:eastAsia="宋体" w:cs="Times New Roman"/>
                <w:color w:val="000000"/>
                <w:kern w:val="0"/>
                <w:sz w:val="22"/>
                <w:szCs w:val="22"/>
                <w:lang w:eastAsia="zh-CN"/>
              </w:rPr>
              <w:t>合同</w:t>
            </w:r>
          </w:p>
        </w:tc>
        <w:tc>
          <w:tcPr>
            <w:tcW w:w="851" w:type="dxa"/>
            <w:tcBorders>
              <w:top w:val="nil"/>
              <w:left w:val="nil"/>
              <w:bottom w:val="single" w:color="auto" w:sz="4" w:space="0"/>
              <w:right w:val="single" w:color="auto" w:sz="4" w:space="0"/>
            </w:tcBorders>
            <w:noWrap w:val="0"/>
            <w:vAlign w:val="center"/>
          </w:tcPr>
          <w:p w14:paraId="7BE493BE">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rPr>
              <w:t>按</w:t>
            </w:r>
            <w:r>
              <w:rPr>
                <w:rFonts w:hint="eastAsia" w:ascii="Calibri" w:hAnsi="Calibri" w:eastAsia="宋体" w:cs="Times New Roman"/>
                <w:color w:val="000000"/>
                <w:kern w:val="0"/>
                <w:sz w:val="22"/>
                <w:szCs w:val="22"/>
                <w:lang w:eastAsia="zh-CN"/>
              </w:rPr>
              <w:t>合同</w:t>
            </w:r>
          </w:p>
        </w:tc>
        <w:tc>
          <w:tcPr>
            <w:tcW w:w="567" w:type="dxa"/>
            <w:gridSpan w:val="2"/>
            <w:tcBorders>
              <w:top w:val="nil"/>
              <w:left w:val="nil"/>
              <w:bottom w:val="single" w:color="auto" w:sz="4" w:space="0"/>
              <w:right w:val="single" w:color="auto" w:sz="4" w:space="0"/>
            </w:tcBorders>
            <w:noWrap w:val="0"/>
            <w:vAlign w:val="center"/>
          </w:tcPr>
          <w:p w14:paraId="33BC0B40">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val="en-US" w:eastAsia="zh-CN"/>
              </w:rPr>
              <w:t>5</w:t>
            </w:r>
          </w:p>
        </w:tc>
        <w:tc>
          <w:tcPr>
            <w:tcW w:w="567" w:type="dxa"/>
            <w:gridSpan w:val="2"/>
            <w:tcBorders>
              <w:top w:val="nil"/>
              <w:left w:val="nil"/>
              <w:bottom w:val="single" w:color="auto" w:sz="4" w:space="0"/>
              <w:right w:val="single" w:color="auto" w:sz="4" w:space="0"/>
            </w:tcBorders>
            <w:noWrap w:val="0"/>
            <w:vAlign w:val="center"/>
          </w:tcPr>
          <w:p w14:paraId="4DEB9980">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14:paraId="29530219">
            <w:pPr>
              <w:widowControl/>
              <w:spacing w:line="0" w:lineRule="atLeast"/>
              <w:jc w:val="left"/>
              <w:rPr>
                <w:rFonts w:ascii="Calibri" w:hAnsi="Calibri" w:eastAsia="宋体" w:cs="Times New Roman"/>
                <w:color w:val="000000"/>
                <w:kern w:val="0"/>
                <w:sz w:val="22"/>
                <w:szCs w:val="22"/>
              </w:rPr>
            </w:pPr>
          </w:p>
        </w:tc>
      </w:tr>
      <w:tr w14:paraId="60FBD56E">
        <w:tblPrEx>
          <w:tblCellMar>
            <w:top w:w="0" w:type="dxa"/>
            <w:left w:w="108" w:type="dxa"/>
            <w:bottom w:w="0" w:type="dxa"/>
            <w:right w:w="108" w:type="dxa"/>
          </w:tblCellMar>
        </w:tblPrEx>
        <w:trPr>
          <w:trHeight w:val="435" w:hRule="exact"/>
          <w:jc w:val="center"/>
        </w:trPr>
        <w:tc>
          <w:tcPr>
            <w:tcW w:w="588" w:type="dxa"/>
            <w:vMerge w:val="continue"/>
            <w:tcBorders>
              <w:left w:val="single" w:color="auto" w:sz="4" w:space="0"/>
              <w:right w:val="single" w:color="auto" w:sz="4" w:space="0"/>
            </w:tcBorders>
            <w:noWrap w:val="0"/>
            <w:vAlign w:val="center"/>
          </w:tcPr>
          <w:p w14:paraId="46A4505A">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03435E8A">
            <w:pPr>
              <w:widowControl/>
              <w:spacing w:line="0" w:lineRule="atLeast"/>
              <w:jc w:val="left"/>
              <w:rPr>
                <w:rFonts w:ascii="Calibri" w:hAnsi="Calibri" w:eastAsia="宋体" w:cs="Times New Roman"/>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7CB650B0">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成本指标</w:t>
            </w:r>
          </w:p>
        </w:tc>
        <w:tc>
          <w:tcPr>
            <w:tcW w:w="2138" w:type="dxa"/>
            <w:gridSpan w:val="3"/>
            <w:tcBorders>
              <w:top w:val="single" w:color="auto" w:sz="4" w:space="0"/>
              <w:left w:val="nil"/>
              <w:bottom w:val="single" w:color="auto" w:sz="4" w:space="0"/>
              <w:right w:val="single" w:color="auto" w:sz="4" w:space="0"/>
            </w:tcBorders>
            <w:noWrap w:val="0"/>
            <w:vAlign w:val="center"/>
          </w:tcPr>
          <w:p w14:paraId="7E00BB7A">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污水处理设施及配套管网</w:t>
            </w:r>
          </w:p>
        </w:tc>
        <w:tc>
          <w:tcPr>
            <w:tcW w:w="860" w:type="dxa"/>
            <w:tcBorders>
              <w:top w:val="nil"/>
              <w:left w:val="nil"/>
              <w:bottom w:val="single" w:color="auto" w:sz="4" w:space="0"/>
              <w:right w:val="single" w:color="auto" w:sz="4" w:space="0"/>
            </w:tcBorders>
            <w:noWrap w:val="0"/>
            <w:vAlign w:val="center"/>
          </w:tcPr>
          <w:p w14:paraId="268ECEF5">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1583.95</w:t>
            </w:r>
          </w:p>
        </w:tc>
        <w:tc>
          <w:tcPr>
            <w:tcW w:w="851" w:type="dxa"/>
            <w:tcBorders>
              <w:top w:val="nil"/>
              <w:left w:val="nil"/>
              <w:bottom w:val="single" w:color="auto" w:sz="4" w:space="0"/>
              <w:right w:val="single" w:color="auto" w:sz="4" w:space="0"/>
            </w:tcBorders>
            <w:noWrap w:val="0"/>
            <w:vAlign w:val="center"/>
          </w:tcPr>
          <w:p w14:paraId="1C56C54C">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1583.95</w:t>
            </w:r>
          </w:p>
        </w:tc>
        <w:tc>
          <w:tcPr>
            <w:tcW w:w="567" w:type="dxa"/>
            <w:gridSpan w:val="2"/>
            <w:tcBorders>
              <w:top w:val="nil"/>
              <w:left w:val="nil"/>
              <w:bottom w:val="single" w:color="auto" w:sz="4" w:space="0"/>
              <w:right w:val="single" w:color="auto" w:sz="4" w:space="0"/>
            </w:tcBorders>
            <w:noWrap w:val="0"/>
            <w:vAlign w:val="center"/>
          </w:tcPr>
          <w:p w14:paraId="74DDAD1D">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5</w:t>
            </w:r>
          </w:p>
        </w:tc>
        <w:tc>
          <w:tcPr>
            <w:tcW w:w="567" w:type="dxa"/>
            <w:gridSpan w:val="2"/>
            <w:tcBorders>
              <w:top w:val="nil"/>
              <w:left w:val="nil"/>
              <w:bottom w:val="single" w:color="auto" w:sz="4" w:space="0"/>
              <w:right w:val="single" w:color="auto" w:sz="4" w:space="0"/>
            </w:tcBorders>
            <w:noWrap w:val="0"/>
            <w:vAlign w:val="center"/>
          </w:tcPr>
          <w:p w14:paraId="35713B58">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5</w:t>
            </w:r>
          </w:p>
        </w:tc>
        <w:tc>
          <w:tcPr>
            <w:tcW w:w="1417" w:type="dxa"/>
            <w:gridSpan w:val="2"/>
            <w:tcBorders>
              <w:top w:val="single" w:color="auto" w:sz="4" w:space="0"/>
              <w:left w:val="nil"/>
              <w:bottom w:val="single" w:color="auto" w:sz="4" w:space="0"/>
              <w:right w:val="single" w:color="auto" w:sz="4" w:space="0"/>
            </w:tcBorders>
            <w:noWrap w:val="0"/>
            <w:vAlign w:val="center"/>
          </w:tcPr>
          <w:p w14:paraId="6C2B6FF9">
            <w:pPr>
              <w:widowControl/>
              <w:spacing w:line="0" w:lineRule="atLeast"/>
              <w:jc w:val="left"/>
              <w:rPr>
                <w:rFonts w:ascii="Calibri" w:hAnsi="Calibri" w:eastAsia="宋体" w:cs="Times New Roman"/>
                <w:color w:val="000000"/>
                <w:kern w:val="0"/>
                <w:sz w:val="22"/>
                <w:szCs w:val="22"/>
              </w:rPr>
            </w:pPr>
          </w:p>
        </w:tc>
      </w:tr>
      <w:tr w14:paraId="5FBA0D78">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08231B86">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FFA2D18">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133389F9">
            <w:pPr>
              <w:widowControl/>
              <w:spacing w:line="0" w:lineRule="atLeast"/>
              <w:jc w:val="left"/>
              <w:rPr>
                <w:rFonts w:ascii="Calibri" w:hAnsi="Calibri" w:eastAsia="宋体" w:cs="Times New Roman"/>
                <w:color w:val="000000"/>
                <w:kern w:val="0"/>
                <w:sz w:val="22"/>
                <w:szCs w:val="22"/>
              </w:rPr>
            </w:pPr>
          </w:p>
        </w:tc>
        <w:tc>
          <w:tcPr>
            <w:tcW w:w="2138" w:type="dxa"/>
            <w:gridSpan w:val="3"/>
            <w:tcBorders>
              <w:top w:val="single" w:color="auto" w:sz="4" w:space="0"/>
              <w:left w:val="nil"/>
              <w:bottom w:val="single" w:color="auto" w:sz="4" w:space="0"/>
              <w:right w:val="single" w:color="auto" w:sz="4" w:space="0"/>
            </w:tcBorders>
            <w:noWrap w:val="0"/>
            <w:vAlign w:val="center"/>
          </w:tcPr>
          <w:p w14:paraId="642039B3">
            <w:pPr>
              <w:widowControl/>
              <w:spacing w:line="0" w:lineRule="atLeast"/>
              <w:jc w:val="left"/>
              <w:rPr>
                <w:rFonts w:hint="eastAsia" w:ascii="Calibri" w:hAnsi="Calibri" w:eastAsia="宋体" w:cs="Times New Roman"/>
                <w:color w:val="000000"/>
                <w:kern w:val="0"/>
                <w:sz w:val="22"/>
                <w:szCs w:val="22"/>
              </w:rPr>
            </w:pPr>
          </w:p>
        </w:tc>
        <w:tc>
          <w:tcPr>
            <w:tcW w:w="860" w:type="dxa"/>
            <w:tcBorders>
              <w:top w:val="nil"/>
              <w:left w:val="nil"/>
              <w:bottom w:val="single" w:color="auto" w:sz="4" w:space="0"/>
              <w:right w:val="single" w:color="auto" w:sz="4" w:space="0"/>
            </w:tcBorders>
            <w:noWrap w:val="0"/>
            <w:vAlign w:val="center"/>
          </w:tcPr>
          <w:p w14:paraId="1B2FBE48">
            <w:pPr>
              <w:widowControl/>
              <w:spacing w:line="0" w:lineRule="atLeast"/>
              <w:jc w:val="left"/>
              <w:rPr>
                <w:rFonts w:ascii="Calibri" w:hAnsi="Calibri" w:eastAsia="宋体" w:cs="Times New Roman"/>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09FE0A7F">
            <w:pPr>
              <w:widowControl/>
              <w:spacing w:line="0" w:lineRule="atLeast"/>
              <w:jc w:val="left"/>
              <w:rPr>
                <w:rFonts w:ascii="Calibri" w:hAnsi="Calibri" w:eastAsia="宋体" w:cs="Times New Roman"/>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1E7BA92F">
            <w:pPr>
              <w:widowControl/>
              <w:spacing w:line="0" w:lineRule="atLeast"/>
              <w:jc w:val="left"/>
              <w:rPr>
                <w:rFonts w:ascii="Calibri" w:hAnsi="Calibri" w:eastAsia="宋体" w:cs="Times New Roman"/>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7F45D6BD">
            <w:pPr>
              <w:widowControl/>
              <w:spacing w:line="0" w:lineRule="atLeast"/>
              <w:jc w:val="left"/>
              <w:rPr>
                <w:rFonts w:ascii="Calibri" w:hAnsi="Calibri" w:eastAsia="宋体" w:cs="Times New Roman"/>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0794A82D">
            <w:pPr>
              <w:widowControl/>
              <w:spacing w:line="0" w:lineRule="atLeast"/>
              <w:jc w:val="left"/>
              <w:rPr>
                <w:rFonts w:ascii="Calibri" w:hAnsi="Calibri" w:eastAsia="宋体" w:cs="Times New Roman"/>
                <w:color w:val="000000"/>
                <w:kern w:val="0"/>
                <w:sz w:val="22"/>
                <w:szCs w:val="22"/>
              </w:rPr>
            </w:pPr>
          </w:p>
        </w:tc>
      </w:tr>
      <w:tr w14:paraId="5AAC68E2">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612DF210">
            <w:pPr>
              <w:widowControl/>
              <w:spacing w:line="0" w:lineRule="atLeast"/>
              <w:jc w:val="left"/>
              <w:rPr>
                <w:rFonts w:ascii="Calibri" w:hAnsi="Calibri" w:eastAsia="宋体" w:cs="Times New Roman"/>
                <w:color w:val="000000"/>
                <w:kern w:val="0"/>
                <w:sz w:val="22"/>
                <w:szCs w:val="22"/>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6A2CD0ED">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效益指标(30分)</w:t>
            </w:r>
          </w:p>
        </w:tc>
        <w:tc>
          <w:tcPr>
            <w:tcW w:w="1112" w:type="dxa"/>
            <w:vMerge w:val="restart"/>
            <w:tcBorders>
              <w:top w:val="nil"/>
              <w:left w:val="single" w:color="auto" w:sz="4" w:space="0"/>
              <w:bottom w:val="single" w:color="auto" w:sz="4" w:space="0"/>
              <w:right w:val="single" w:color="auto" w:sz="4" w:space="0"/>
            </w:tcBorders>
            <w:noWrap w:val="0"/>
            <w:vAlign w:val="center"/>
          </w:tcPr>
          <w:p w14:paraId="4A6A1E15">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经济效益</w:t>
            </w:r>
          </w:p>
          <w:p w14:paraId="64E858C9">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w:t>
            </w:r>
          </w:p>
        </w:tc>
        <w:tc>
          <w:tcPr>
            <w:tcW w:w="2138" w:type="dxa"/>
            <w:gridSpan w:val="3"/>
            <w:tcBorders>
              <w:top w:val="single" w:color="auto" w:sz="4" w:space="0"/>
              <w:left w:val="nil"/>
              <w:bottom w:val="single" w:color="auto" w:sz="4" w:space="0"/>
              <w:right w:val="single" w:color="auto" w:sz="4" w:space="0"/>
            </w:tcBorders>
            <w:noWrap w:val="0"/>
            <w:vAlign w:val="center"/>
          </w:tcPr>
          <w:p w14:paraId="5D2B2C90">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增加可灌溉用水、节约水资源</w:t>
            </w:r>
          </w:p>
        </w:tc>
        <w:tc>
          <w:tcPr>
            <w:tcW w:w="860" w:type="dxa"/>
            <w:tcBorders>
              <w:top w:val="nil"/>
              <w:left w:val="nil"/>
              <w:bottom w:val="single" w:color="auto" w:sz="4" w:space="0"/>
              <w:right w:val="single" w:color="auto" w:sz="4" w:space="0"/>
            </w:tcBorders>
            <w:noWrap w:val="0"/>
            <w:vAlign w:val="center"/>
          </w:tcPr>
          <w:p w14:paraId="73A9B372">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长期</w:t>
            </w:r>
          </w:p>
        </w:tc>
        <w:tc>
          <w:tcPr>
            <w:tcW w:w="851" w:type="dxa"/>
            <w:tcBorders>
              <w:top w:val="nil"/>
              <w:left w:val="nil"/>
              <w:bottom w:val="single" w:color="auto" w:sz="4" w:space="0"/>
              <w:right w:val="single" w:color="auto" w:sz="4" w:space="0"/>
            </w:tcBorders>
            <w:noWrap w:val="0"/>
            <w:vAlign w:val="center"/>
          </w:tcPr>
          <w:p w14:paraId="37E185A2">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长期</w:t>
            </w:r>
          </w:p>
        </w:tc>
        <w:tc>
          <w:tcPr>
            <w:tcW w:w="567" w:type="dxa"/>
            <w:gridSpan w:val="2"/>
            <w:tcBorders>
              <w:top w:val="nil"/>
              <w:left w:val="nil"/>
              <w:bottom w:val="single" w:color="auto" w:sz="4" w:space="0"/>
              <w:right w:val="single" w:color="auto" w:sz="4" w:space="0"/>
            </w:tcBorders>
            <w:noWrap w:val="0"/>
            <w:vAlign w:val="center"/>
          </w:tcPr>
          <w:p w14:paraId="6F7D1CB8">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7C2DAA55">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14:paraId="14968CB7">
            <w:pPr>
              <w:widowControl/>
              <w:spacing w:line="0" w:lineRule="atLeast"/>
              <w:jc w:val="left"/>
              <w:rPr>
                <w:rFonts w:ascii="Calibri" w:hAnsi="Calibri" w:eastAsia="宋体" w:cs="Times New Roman"/>
                <w:color w:val="000000"/>
                <w:kern w:val="0"/>
                <w:sz w:val="22"/>
                <w:szCs w:val="22"/>
              </w:rPr>
            </w:pPr>
          </w:p>
        </w:tc>
      </w:tr>
      <w:tr w14:paraId="472D95B0">
        <w:tblPrEx>
          <w:tblCellMar>
            <w:top w:w="0" w:type="dxa"/>
            <w:left w:w="108" w:type="dxa"/>
            <w:bottom w:w="0" w:type="dxa"/>
            <w:right w:w="108" w:type="dxa"/>
          </w:tblCellMar>
        </w:tblPrEx>
        <w:trPr>
          <w:trHeight w:val="285" w:hRule="exact"/>
          <w:jc w:val="center"/>
        </w:trPr>
        <w:tc>
          <w:tcPr>
            <w:tcW w:w="588" w:type="dxa"/>
            <w:vMerge w:val="continue"/>
            <w:tcBorders>
              <w:left w:val="single" w:color="auto" w:sz="4" w:space="0"/>
              <w:right w:val="single" w:color="auto" w:sz="4" w:space="0"/>
            </w:tcBorders>
            <w:noWrap w:val="0"/>
            <w:vAlign w:val="center"/>
          </w:tcPr>
          <w:p w14:paraId="67FF4CEE">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77E686FE">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2CFAD5B8">
            <w:pPr>
              <w:widowControl/>
              <w:spacing w:line="0" w:lineRule="atLeast"/>
              <w:jc w:val="left"/>
              <w:rPr>
                <w:rFonts w:ascii="Calibri" w:hAnsi="Calibri" w:eastAsia="宋体" w:cs="Times New Roman"/>
                <w:color w:val="000000"/>
                <w:kern w:val="0"/>
                <w:sz w:val="22"/>
                <w:szCs w:val="22"/>
              </w:rPr>
            </w:pPr>
          </w:p>
        </w:tc>
        <w:tc>
          <w:tcPr>
            <w:tcW w:w="2138" w:type="dxa"/>
            <w:gridSpan w:val="3"/>
            <w:tcBorders>
              <w:top w:val="single" w:color="auto" w:sz="4" w:space="0"/>
              <w:left w:val="nil"/>
              <w:bottom w:val="single" w:color="auto" w:sz="4" w:space="0"/>
              <w:right w:val="single" w:color="auto" w:sz="4" w:space="0"/>
            </w:tcBorders>
            <w:noWrap w:val="0"/>
            <w:vAlign w:val="center"/>
          </w:tcPr>
          <w:p w14:paraId="076AB0DF">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指标2：</w:t>
            </w:r>
          </w:p>
        </w:tc>
        <w:tc>
          <w:tcPr>
            <w:tcW w:w="860" w:type="dxa"/>
            <w:tcBorders>
              <w:top w:val="nil"/>
              <w:left w:val="nil"/>
              <w:bottom w:val="single" w:color="auto" w:sz="4" w:space="0"/>
              <w:right w:val="single" w:color="auto" w:sz="4" w:space="0"/>
            </w:tcBorders>
            <w:noWrap w:val="0"/>
            <w:vAlign w:val="center"/>
          </w:tcPr>
          <w:p w14:paraId="2BC6FA60">
            <w:pPr>
              <w:widowControl/>
              <w:spacing w:line="0" w:lineRule="atLeast"/>
              <w:jc w:val="left"/>
              <w:rPr>
                <w:rFonts w:ascii="Calibri" w:hAnsi="Calibri" w:eastAsia="宋体" w:cs="Times New Roman"/>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4868E57B">
            <w:pPr>
              <w:widowControl/>
              <w:spacing w:line="0" w:lineRule="atLeast"/>
              <w:jc w:val="left"/>
              <w:rPr>
                <w:rFonts w:ascii="Calibri" w:hAnsi="Calibri" w:eastAsia="宋体" w:cs="Times New Roman"/>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3EE02F78">
            <w:pPr>
              <w:widowControl/>
              <w:spacing w:line="0" w:lineRule="atLeast"/>
              <w:jc w:val="left"/>
              <w:rPr>
                <w:rFonts w:ascii="Calibri" w:hAnsi="Calibri" w:eastAsia="宋体" w:cs="Times New Roman"/>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3E79C8F6">
            <w:pPr>
              <w:widowControl/>
              <w:spacing w:line="0" w:lineRule="atLeast"/>
              <w:jc w:val="left"/>
              <w:rPr>
                <w:rFonts w:ascii="Calibri" w:hAnsi="Calibri" w:eastAsia="宋体" w:cs="Times New Roman"/>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5AF40A00">
            <w:pPr>
              <w:widowControl/>
              <w:spacing w:line="0" w:lineRule="atLeast"/>
              <w:jc w:val="left"/>
              <w:rPr>
                <w:rFonts w:ascii="Calibri" w:hAnsi="Calibri" w:eastAsia="宋体" w:cs="Times New Roman"/>
                <w:color w:val="000000"/>
                <w:kern w:val="0"/>
                <w:sz w:val="22"/>
                <w:szCs w:val="22"/>
              </w:rPr>
            </w:pPr>
          </w:p>
        </w:tc>
      </w:tr>
      <w:tr w14:paraId="29C4D094">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4A52FC32">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5D4D85BC">
            <w:pPr>
              <w:widowControl/>
              <w:spacing w:line="0" w:lineRule="atLeast"/>
              <w:jc w:val="left"/>
              <w:rPr>
                <w:rFonts w:ascii="Calibri" w:hAnsi="Calibri" w:eastAsia="宋体" w:cs="Times New Roman"/>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14073F73">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社会效益</w:t>
            </w:r>
          </w:p>
          <w:p w14:paraId="14E84FB1">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w:t>
            </w:r>
          </w:p>
        </w:tc>
        <w:tc>
          <w:tcPr>
            <w:tcW w:w="2138" w:type="dxa"/>
            <w:gridSpan w:val="3"/>
            <w:tcBorders>
              <w:top w:val="single" w:color="auto" w:sz="4" w:space="0"/>
              <w:left w:val="nil"/>
              <w:bottom w:val="single" w:color="auto" w:sz="4" w:space="0"/>
              <w:right w:val="single" w:color="auto" w:sz="4" w:space="0"/>
            </w:tcBorders>
            <w:noWrap w:val="0"/>
            <w:vAlign w:val="center"/>
          </w:tcPr>
          <w:p w14:paraId="35E59D8C">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促进农业生产的发展</w:t>
            </w:r>
          </w:p>
        </w:tc>
        <w:tc>
          <w:tcPr>
            <w:tcW w:w="860" w:type="dxa"/>
            <w:tcBorders>
              <w:top w:val="nil"/>
              <w:left w:val="nil"/>
              <w:bottom w:val="single" w:color="auto" w:sz="4" w:space="0"/>
              <w:right w:val="single" w:color="auto" w:sz="4" w:space="0"/>
            </w:tcBorders>
            <w:noWrap w:val="0"/>
            <w:vAlign w:val="center"/>
          </w:tcPr>
          <w:p w14:paraId="54306BD0">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长期</w:t>
            </w:r>
          </w:p>
        </w:tc>
        <w:tc>
          <w:tcPr>
            <w:tcW w:w="851" w:type="dxa"/>
            <w:tcBorders>
              <w:top w:val="nil"/>
              <w:left w:val="nil"/>
              <w:bottom w:val="single" w:color="auto" w:sz="4" w:space="0"/>
              <w:right w:val="single" w:color="auto" w:sz="4" w:space="0"/>
            </w:tcBorders>
            <w:noWrap w:val="0"/>
            <w:vAlign w:val="center"/>
          </w:tcPr>
          <w:p w14:paraId="76421F26">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长期</w:t>
            </w:r>
          </w:p>
        </w:tc>
        <w:tc>
          <w:tcPr>
            <w:tcW w:w="567" w:type="dxa"/>
            <w:gridSpan w:val="2"/>
            <w:tcBorders>
              <w:top w:val="nil"/>
              <w:left w:val="nil"/>
              <w:bottom w:val="single" w:color="auto" w:sz="4" w:space="0"/>
              <w:right w:val="single" w:color="auto" w:sz="4" w:space="0"/>
            </w:tcBorders>
            <w:noWrap w:val="0"/>
            <w:vAlign w:val="center"/>
          </w:tcPr>
          <w:p w14:paraId="37390C27">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w:t>
            </w:r>
          </w:p>
        </w:tc>
        <w:tc>
          <w:tcPr>
            <w:tcW w:w="567" w:type="dxa"/>
            <w:gridSpan w:val="2"/>
            <w:tcBorders>
              <w:top w:val="nil"/>
              <w:left w:val="nil"/>
              <w:bottom w:val="single" w:color="auto" w:sz="4" w:space="0"/>
              <w:right w:val="single" w:color="auto" w:sz="4" w:space="0"/>
            </w:tcBorders>
            <w:noWrap w:val="0"/>
            <w:vAlign w:val="center"/>
          </w:tcPr>
          <w:p w14:paraId="11D141DB">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9</w:t>
            </w:r>
          </w:p>
        </w:tc>
        <w:tc>
          <w:tcPr>
            <w:tcW w:w="1417" w:type="dxa"/>
            <w:gridSpan w:val="2"/>
            <w:tcBorders>
              <w:top w:val="single" w:color="auto" w:sz="4" w:space="0"/>
              <w:left w:val="nil"/>
              <w:bottom w:val="single" w:color="auto" w:sz="4" w:space="0"/>
              <w:right w:val="single" w:color="auto" w:sz="4" w:space="0"/>
            </w:tcBorders>
            <w:noWrap w:val="0"/>
            <w:vAlign w:val="center"/>
          </w:tcPr>
          <w:p w14:paraId="70F13F7A">
            <w:pPr>
              <w:widowControl/>
              <w:spacing w:line="0" w:lineRule="atLeast"/>
              <w:jc w:val="left"/>
              <w:rPr>
                <w:rFonts w:ascii="Calibri" w:hAnsi="Calibri" w:eastAsia="宋体" w:cs="Times New Roman"/>
                <w:color w:val="000000"/>
                <w:kern w:val="0"/>
                <w:sz w:val="22"/>
                <w:szCs w:val="22"/>
              </w:rPr>
            </w:pPr>
          </w:p>
        </w:tc>
      </w:tr>
      <w:tr w14:paraId="7C82EF0E">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12047ECE">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E7725A4">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73C9C4FB">
            <w:pPr>
              <w:widowControl/>
              <w:spacing w:line="0" w:lineRule="atLeast"/>
              <w:jc w:val="left"/>
              <w:rPr>
                <w:rFonts w:ascii="Calibri" w:hAnsi="Calibri" w:eastAsia="宋体" w:cs="Times New Roman"/>
                <w:color w:val="000000"/>
                <w:kern w:val="0"/>
                <w:sz w:val="22"/>
                <w:szCs w:val="22"/>
              </w:rPr>
            </w:pPr>
          </w:p>
        </w:tc>
        <w:tc>
          <w:tcPr>
            <w:tcW w:w="2138" w:type="dxa"/>
            <w:gridSpan w:val="3"/>
            <w:tcBorders>
              <w:top w:val="single" w:color="auto" w:sz="4" w:space="0"/>
              <w:left w:val="nil"/>
              <w:bottom w:val="single" w:color="auto" w:sz="4" w:space="0"/>
              <w:right w:val="single" w:color="auto" w:sz="4" w:space="0"/>
            </w:tcBorders>
            <w:noWrap w:val="0"/>
            <w:vAlign w:val="center"/>
          </w:tcPr>
          <w:p w14:paraId="776D8748">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指标2：</w:t>
            </w:r>
          </w:p>
        </w:tc>
        <w:tc>
          <w:tcPr>
            <w:tcW w:w="860" w:type="dxa"/>
            <w:tcBorders>
              <w:top w:val="nil"/>
              <w:left w:val="nil"/>
              <w:bottom w:val="single" w:color="auto" w:sz="4" w:space="0"/>
              <w:right w:val="single" w:color="auto" w:sz="4" w:space="0"/>
            </w:tcBorders>
            <w:noWrap w:val="0"/>
            <w:vAlign w:val="center"/>
          </w:tcPr>
          <w:p w14:paraId="3F3C6D03">
            <w:pPr>
              <w:widowControl/>
              <w:spacing w:line="0" w:lineRule="atLeast"/>
              <w:jc w:val="left"/>
              <w:rPr>
                <w:rFonts w:ascii="Calibri" w:hAnsi="Calibri" w:eastAsia="宋体" w:cs="Times New Roman"/>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2DC0F5EC">
            <w:pPr>
              <w:widowControl/>
              <w:spacing w:line="0" w:lineRule="atLeast"/>
              <w:jc w:val="left"/>
              <w:rPr>
                <w:rFonts w:ascii="Calibri" w:hAnsi="Calibri" w:eastAsia="宋体" w:cs="Times New Roman"/>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7E0B08FD">
            <w:pPr>
              <w:widowControl/>
              <w:spacing w:line="0" w:lineRule="atLeast"/>
              <w:jc w:val="left"/>
              <w:rPr>
                <w:rFonts w:ascii="Calibri" w:hAnsi="Calibri" w:eastAsia="宋体" w:cs="Times New Roman"/>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04A46C89">
            <w:pPr>
              <w:widowControl/>
              <w:spacing w:line="0" w:lineRule="atLeast"/>
              <w:jc w:val="left"/>
              <w:rPr>
                <w:rFonts w:ascii="Calibri" w:hAnsi="Calibri" w:eastAsia="宋体" w:cs="Times New Roman"/>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73BC2C52">
            <w:pPr>
              <w:widowControl/>
              <w:spacing w:line="0" w:lineRule="atLeast"/>
              <w:jc w:val="left"/>
              <w:rPr>
                <w:rFonts w:ascii="Calibri" w:hAnsi="Calibri" w:eastAsia="宋体" w:cs="Times New Roman"/>
                <w:color w:val="000000"/>
                <w:kern w:val="0"/>
                <w:sz w:val="22"/>
                <w:szCs w:val="22"/>
              </w:rPr>
            </w:pPr>
          </w:p>
        </w:tc>
      </w:tr>
      <w:tr w14:paraId="314A0E1C">
        <w:tblPrEx>
          <w:tblCellMar>
            <w:top w:w="0" w:type="dxa"/>
            <w:left w:w="108" w:type="dxa"/>
            <w:bottom w:w="0" w:type="dxa"/>
            <w:right w:w="108" w:type="dxa"/>
          </w:tblCellMar>
        </w:tblPrEx>
        <w:trPr>
          <w:trHeight w:val="450" w:hRule="exact"/>
          <w:jc w:val="center"/>
        </w:trPr>
        <w:tc>
          <w:tcPr>
            <w:tcW w:w="588" w:type="dxa"/>
            <w:vMerge w:val="continue"/>
            <w:tcBorders>
              <w:left w:val="single" w:color="auto" w:sz="4" w:space="0"/>
              <w:right w:val="single" w:color="auto" w:sz="4" w:space="0"/>
            </w:tcBorders>
            <w:noWrap w:val="0"/>
            <w:vAlign w:val="center"/>
          </w:tcPr>
          <w:p w14:paraId="247CB5AB">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542C26BC">
            <w:pPr>
              <w:widowControl/>
              <w:spacing w:line="0" w:lineRule="atLeast"/>
              <w:jc w:val="left"/>
              <w:rPr>
                <w:rFonts w:ascii="Calibri" w:hAnsi="Calibri" w:eastAsia="宋体" w:cs="Times New Roman"/>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1E4AA85F">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生态效益</w:t>
            </w:r>
          </w:p>
          <w:p w14:paraId="277907D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w:t>
            </w:r>
          </w:p>
        </w:tc>
        <w:tc>
          <w:tcPr>
            <w:tcW w:w="2138" w:type="dxa"/>
            <w:gridSpan w:val="3"/>
            <w:tcBorders>
              <w:top w:val="single" w:color="auto" w:sz="4" w:space="0"/>
              <w:left w:val="nil"/>
              <w:bottom w:val="single" w:color="auto" w:sz="4" w:space="0"/>
              <w:right w:val="single" w:color="auto" w:sz="4" w:space="0"/>
            </w:tcBorders>
            <w:noWrap w:val="0"/>
            <w:vAlign w:val="center"/>
          </w:tcPr>
          <w:p w14:paraId="6EBBA1FD">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水污染降低率</w:t>
            </w:r>
          </w:p>
        </w:tc>
        <w:tc>
          <w:tcPr>
            <w:tcW w:w="860" w:type="dxa"/>
            <w:tcBorders>
              <w:top w:val="nil"/>
              <w:left w:val="nil"/>
              <w:bottom w:val="single" w:color="auto" w:sz="4" w:space="0"/>
              <w:right w:val="single" w:color="auto" w:sz="4" w:space="0"/>
            </w:tcBorders>
            <w:noWrap w:val="0"/>
            <w:vAlign w:val="center"/>
          </w:tcPr>
          <w:p w14:paraId="4135A6DD">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90%</w:t>
            </w:r>
          </w:p>
        </w:tc>
        <w:tc>
          <w:tcPr>
            <w:tcW w:w="851" w:type="dxa"/>
            <w:tcBorders>
              <w:top w:val="nil"/>
              <w:left w:val="nil"/>
              <w:bottom w:val="single" w:color="auto" w:sz="4" w:space="0"/>
              <w:right w:val="single" w:color="auto" w:sz="4" w:space="0"/>
            </w:tcBorders>
            <w:noWrap w:val="0"/>
            <w:vAlign w:val="center"/>
          </w:tcPr>
          <w:p w14:paraId="1104E8BD">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90%</w:t>
            </w:r>
          </w:p>
        </w:tc>
        <w:tc>
          <w:tcPr>
            <w:tcW w:w="567" w:type="dxa"/>
            <w:gridSpan w:val="2"/>
            <w:tcBorders>
              <w:top w:val="nil"/>
              <w:left w:val="nil"/>
              <w:bottom w:val="single" w:color="auto" w:sz="4" w:space="0"/>
              <w:right w:val="single" w:color="auto" w:sz="4" w:space="0"/>
            </w:tcBorders>
            <w:noWrap w:val="0"/>
            <w:vAlign w:val="center"/>
          </w:tcPr>
          <w:p w14:paraId="368003BF">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w:t>
            </w:r>
          </w:p>
        </w:tc>
        <w:tc>
          <w:tcPr>
            <w:tcW w:w="567" w:type="dxa"/>
            <w:gridSpan w:val="2"/>
            <w:tcBorders>
              <w:top w:val="nil"/>
              <w:left w:val="nil"/>
              <w:bottom w:val="single" w:color="auto" w:sz="4" w:space="0"/>
              <w:right w:val="single" w:color="auto" w:sz="4" w:space="0"/>
            </w:tcBorders>
            <w:noWrap w:val="0"/>
            <w:vAlign w:val="center"/>
          </w:tcPr>
          <w:p w14:paraId="6D9271E2">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9</w:t>
            </w:r>
          </w:p>
        </w:tc>
        <w:tc>
          <w:tcPr>
            <w:tcW w:w="1417" w:type="dxa"/>
            <w:gridSpan w:val="2"/>
            <w:tcBorders>
              <w:top w:val="single" w:color="auto" w:sz="4" w:space="0"/>
              <w:left w:val="nil"/>
              <w:bottom w:val="single" w:color="auto" w:sz="4" w:space="0"/>
              <w:right w:val="single" w:color="auto" w:sz="4" w:space="0"/>
            </w:tcBorders>
            <w:noWrap w:val="0"/>
            <w:vAlign w:val="center"/>
          </w:tcPr>
          <w:p w14:paraId="007ACE42">
            <w:pPr>
              <w:widowControl/>
              <w:spacing w:line="0" w:lineRule="atLeast"/>
              <w:jc w:val="left"/>
              <w:rPr>
                <w:rFonts w:ascii="Calibri" w:hAnsi="Calibri" w:eastAsia="宋体" w:cs="Times New Roman"/>
                <w:color w:val="000000"/>
                <w:kern w:val="0"/>
                <w:sz w:val="22"/>
                <w:szCs w:val="22"/>
              </w:rPr>
            </w:pPr>
          </w:p>
        </w:tc>
      </w:tr>
      <w:tr w14:paraId="564FC80B">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41A8CD28">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18F80287">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2BB5DE0A">
            <w:pPr>
              <w:widowControl/>
              <w:spacing w:line="0" w:lineRule="atLeast"/>
              <w:jc w:val="left"/>
              <w:rPr>
                <w:rFonts w:ascii="Calibri" w:hAnsi="Calibri" w:eastAsia="宋体" w:cs="Times New Roman"/>
                <w:color w:val="000000"/>
                <w:kern w:val="0"/>
                <w:sz w:val="22"/>
                <w:szCs w:val="22"/>
              </w:rPr>
            </w:pPr>
          </w:p>
        </w:tc>
        <w:tc>
          <w:tcPr>
            <w:tcW w:w="2138" w:type="dxa"/>
            <w:gridSpan w:val="3"/>
            <w:tcBorders>
              <w:top w:val="single" w:color="auto" w:sz="4" w:space="0"/>
              <w:left w:val="nil"/>
              <w:bottom w:val="single" w:color="auto" w:sz="4" w:space="0"/>
              <w:right w:val="single" w:color="auto" w:sz="4" w:space="0"/>
            </w:tcBorders>
            <w:noWrap w:val="0"/>
            <w:vAlign w:val="center"/>
          </w:tcPr>
          <w:p w14:paraId="4DA8E2B6">
            <w:pPr>
              <w:widowControl/>
              <w:spacing w:line="0" w:lineRule="atLeast"/>
              <w:jc w:val="left"/>
              <w:rPr>
                <w:rFonts w:ascii="Calibri" w:hAnsi="Calibri" w:eastAsia="宋体" w:cs="Times New Roman"/>
                <w:color w:val="000000"/>
                <w:kern w:val="0"/>
                <w:sz w:val="22"/>
                <w:szCs w:val="22"/>
              </w:rPr>
            </w:pPr>
          </w:p>
        </w:tc>
        <w:tc>
          <w:tcPr>
            <w:tcW w:w="860" w:type="dxa"/>
            <w:tcBorders>
              <w:top w:val="nil"/>
              <w:left w:val="nil"/>
              <w:bottom w:val="single" w:color="auto" w:sz="4" w:space="0"/>
              <w:right w:val="single" w:color="auto" w:sz="4" w:space="0"/>
            </w:tcBorders>
            <w:noWrap w:val="0"/>
            <w:vAlign w:val="center"/>
          </w:tcPr>
          <w:p w14:paraId="0BCBC68B">
            <w:pPr>
              <w:widowControl/>
              <w:spacing w:line="0" w:lineRule="atLeast"/>
              <w:jc w:val="left"/>
              <w:rPr>
                <w:rFonts w:ascii="Calibri" w:hAnsi="Calibri" w:eastAsia="宋体" w:cs="Times New Roman"/>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316B4A96">
            <w:pPr>
              <w:widowControl/>
              <w:spacing w:line="0" w:lineRule="atLeast"/>
              <w:jc w:val="left"/>
              <w:rPr>
                <w:rFonts w:ascii="Calibri" w:hAnsi="Calibri" w:eastAsia="宋体" w:cs="Times New Roman"/>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67939BD7">
            <w:pPr>
              <w:widowControl/>
              <w:spacing w:line="0" w:lineRule="atLeast"/>
              <w:jc w:val="left"/>
              <w:rPr>
                <w:rFonts w:ascii="Calibri" w:hAnsi="Calibri" w:eastAsia="宋体" w:cs="Times New Roman"/>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01868113">
            <w:pPr>
              <w:widowControl/>
              <w:spacing w:line="0" w:lineRule="atLeast"/>
              <w:jc w:val="left"/>
              <w:rPr>
                <w:rFonts w:ascii="Calibri" w:hAnsi="Calibri" w:eastAsia="宋体" w:cs="Times New Roman"/>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18FA4A92">
            <w:pPr>
              <w:widowControl/>
              <w:spacing w:line="0" w:lineRule="atLeast"/>
              <w:jc w:val="left"/>
              <w:rPr>
                <w:rFonts w:ascii="Calibri" w:hAnsi="Calibri" w:eastAsia="宋体" w:cs="Times New Roman"/>
                <w:color w:val="000000"/>
                <w:kern w:val="0"/>
                <w:sz w:val="22"/>
                <w:szCs w:val="22"/>
              </w:rPr>
            </w:pPr>
          </w:p>
        </w:tc>
      </w:tr>
      <w:tr w14:paraId="574CE142">
        <w:tblPrEx>
          <w:tblCellMar>
            <w:top w:w="0" w:type="dxa"/>
            <w:left w:w="108" w:type="dxa"/>
            <w:bottom w:w="0" w:type="dxa"/>
            <w:right w:w="108" w:type="dxa"/>
          </w:tblCellMar>
        </w:tblPrEx>
        <w:trPr>
          <w:trHeight w:val="450" w:hRule="exact"/>
          <w:jc w:val="center"/>
        </w:trPr>
        <w:tc>
          <w:tcPr>
            <w:tcW w:w="588" w:type="dxa"/>
            <w:vMerge w:val="continue"/>
            <w:tcBorders>
              <w:left w:val="single" w:color="auto" w:sz="4" w:space="0"/>
              <w:right w:val="single" w:color="auto" w:sz="4" w:space="0"/>
            </w:tcBorders>
            <w:noWrap w:val="0"/>
            <w:vAlign w:val="center"/>
          </w:tcPr>
          <w:p w14:paraId="61B95ACC">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7DF7E3BE">
            <w:pPr>
              <w:widowControl/>
              <w:spacing w:line="0" w:lineRule="atLeast"/>
              <w:jc w:val="left"/>
              <w:rPr>
                <w:rFonts w:ascii="Calibri" w:hAnsi="Calibri" w:eastAsia="宋体" w:cs="Times New Roman"/>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0B38431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可持续影响指标</w:t>
            </w:r>
          </w:p>
        </w:tc>
        <w:tc>
          <w:tcPr>
            <w:tcW w:w="2138" w:type="dxa"/>
            <w:gridSpan w:val="3"/>
            <w:tcBorders>
              <w:top w:val="single" w:color="auto" w:sz="4" w:space="0"/>
              <w:left w:val="nil"/>
              <w:bottom w:val="single" w:color="auto" w:sz="4" w:space="0"/>
              <w:right w:val="single" w:color="auto" w:sz="4" w:space="0"/>
            </w:tcBorders>
            <w:noWrap w:val="0"/>
            <w:vAlign w:val="center"/>
          </w:tcPr>
          <w:p w14:paraId="5BFC8D62">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解决乡镇区域污水染问题</w:t>
            </w:r>
          </w:p>
        </w:tc>
        <w:tc>
          <w:tcPr>
            <w:tcW w:w="860" w:type="dxa"/>
            <w:tcBorders>
              <w:top w:val="nil"/>
              <w:left w:val="nil"/>
              <w:bottom w:val="single" w:color="auto" w:sz="4" w:space="0"/>
              <w:right w:val="single" w:color="auto" w:sz="4" w:space="0"/>
            </w:tcBorders>
            <w:noWrap w:val="0"/>
            <w:vAlign w:val="center"/>
          </w:tcPr>
          <w:p w14:paraId="0A20B83C">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长期</w:t>
            </w:r>
          </w:p>
        </w:tc>
        <w:tc>
          <w:tcPr>
            <w:tcW w:w="851" w:type="dxa"/>
            <w:tcBorders>
              <w:top w:val="nil"/>
              <w:left w:val="nil"/>
              <w:bottom w:val="single" w:color="auto" w:sz="4" w:space="0"/>
              <w:right w:val="single" w:color="auto" w:sz="4" w:space="0"/>
            </w:tcBorders>
            <w:noWrap w:val="0"/>
            <w:vAlign w:val="center"/>
          </w:tcPr>
          <w:p w14:paraId="62451319">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长期</w:t>
            </w:r>
          </w:p>
        </w:tc>
        <w:tc>
          <w:tcPr>
            <w:tcW w:w="567" w:type="dxa"/>
            <w:gridSpan w:val="2"/>
            <w:tcBorders>
              <w:top w:val="nil"/>
              <w:left w:val="nil"/>
              <w:bottom w:val="single" w:color="auto" w:sz="4" w:space="0"/>
              <w:right w:val="single" w:color="auto" w:sz="4" w:space="0"/>
            </w:tcBorders>
            <w:noWrap w:val="0"/>
            <w:vAlign w:val="center"/>
          </w:tcPr>
          <w:p w14:paraId="6FDAB74B">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w:t>
            </w:r>
          </w:p>
        </w:tc>
        <w:tc>
          <w:tcPr>
            <w:tcW w:w="567" w:type="dxa"/>
            <w:gridSpan w:val="2"/>
            <w:tcBorders>
              <w:top w:val="nil"/>
              <w:left w:val="nil"/>
              <w:bottom w:val="single" w:color="auto" w:sz="4" w:space="0"/>
              <w:right w:val="single" w:color="auto" w:sz="4" w:space="0"/>
            </w:tcBorders>
            <w:noWrap w:val="0"/>
            <w:vAlign w:val="center"/>
          </w:tcPr>
          <w:p w14:paraId="3B934F4F">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9</w:t>
            </w:r>
          </w:p>
        </w:tc>
        <w:tc>
          <w:tcPr>
            <w:tcW w:w="1417" w:type="dxa"/>
            <w:gridSpan w:val="2"/>
            <w:tcBorders>
              <w:top w:val="single" w:color="auto" w:sz="4" w:space="0"/>
              <w:left w:val="nil"/>
              <w:bottom w:val="single" w:color="auto" w:sz="4" w:space="0"/>
              <w:right w:val="single" w:color="auto" w:sz="4" w:space="0"/>
            </w:tcBorders>
            <w:noWrap w:val="0"/>
            <w:vAlign w:val="center"/>
          </w:tcPr>
          <w:p w14:paraId="0DDCAA23">
            <w:pPr>
              <w:widowControl/>
              <w:spacing w:line="0" w:lineRule="atLeast"/>
              <w:jc w:val="left"/>
              <w:rPr>
                <w:rFonts w:ascii="Calibri" w:hAnsi="Calibri" w:eastAsia="宋体" w:cs="Times New Roman"/>
                <w:color w:val="000000"/>
                <w:kern w:val="0"/>
                <w:sz w:val="22"/>
                <w:szCs w:val="22"/>
              </w:rPr>
            </w:pPr>
          </w:p>
          <w:p w14:paraId="72B79030">
            <w:pPr>
              <w:widowControl/>
              <w:spacing w:line="0" w:lineRule="atLeast"/>
              <w:jc w:val="left"/>
              <w:rPr>
                <w:rFonts w:ascii="Calibri" w:hAnsi="Calibri" w:eastAsia="宋体" w:cs="Times New Roman"/>
                <w:color w:val="000000"/>
                <w:kern w:val="0"/>
                <w:sz w:val="22"/>
                <w:szCs w:val="22"/>
                <w:lang w:val="en-US" w:eastAsia="zh-CN"/>
              </w:rPr>
            </w:pPr>
          </w:p>
        </w:tc>
      </w:tr>
      <w:tr w14:paraId="57C2FD76">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449F996D">
            <w:pPr>
              <w:widowControl/>
              <w:spacing w:line="0" w:lineRule="atLeast"/>
              <w:jc w:val="left"/>
              <w:rPr>
                <w:rFonts w:ascii="Calibri" w:hAnsi="Calibri" w:eastAsia="宋体" w:cs="Times New Roman"/>
                <w:color w:val="000000"/>
                <w:kern w:val="0"/>
                <w:sz w:val="22"/>
                <w:szCs w:val="22"/>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17118994">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4FC1AA85">
            <w:pPr>
              <w:widowControl/>
              <w:spacing w:line="0" w:lineRule="atLeast"/>
              <w:jc w:val="left"/>
              <w:rPr>
                <w:rFonts w:ascii="Calibri" w:hAnsi="Calibri" w:eastAsia="宋体" w:cs="Times New Roman"/>
                <w:color w:val="000000"/>
                <w:kern w:val="0"/>
                <w:sz w:val="22"/>
                <w:szCs w:val="22"/>
              </w:rPr>
            </w:pPr>
          </w:p>
        </w:tc>
        <w:tc>
          <w:tcPr>
            <w:tcW w:w="2138" w:type="dxa"/>
            <w:gridSpan w:val="3"/>
            <w:tcBorders>
              <w:top w:val="single" w:color="auto" w:sz="4" w:space="0"/>
              <w:left w:val="nil"/>
              <w:bottom w:val="single" w:color="auto" w:sz="4" w:space="0"/>
              <w:right w:val="single" w:color="auto" w:sz="4" w:space="0"/>
            </w:tcBorders>
            <w:noWrap w:val="0"/>
            <w:vAlign w:val="center"/>
          </w:tcPr>
          <w:p w14:paraId="5CC8FC5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指标2：</w:t>
            </w:r>
          </w:p>
        </w:tc>
        <w:tc>
          <w:tcPr>
            <w:tcW w:w="860" w:type="dxa"/>
            <w:tcBorders>
              <w:top w:val="nil"/>
              <w:left w:val="nil"/>
              <w:bottom w:val="single" w:color="auto" w:sz="4" w:space="0"/>
              <w:right w:val="single" w:color="auto" w:sz="4" w:space="0"/>
            </w:tcBorders>
            <w:noWrap w:val="0"/>
            <w:vAlign w:val="center"/>
          </w:tcPr>
          <w:p w14:paraId="44DBD339">
            <w:pPr>
              <w:widowControl/>
              <w:spacing w:line="0" w:lineRule="atLeast"/>
              <w:jc w:val="left"/>
              <w:rPr>
                <w:rFonts w:ascii="Calibri" w:hAnsi="Calibri" w:eastAsia="宋体" w:cs="Times New Roman"/>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79BF0986">
            <w:pPr>
              <w:widowControl/>
              <w:spacing w:line="0" w:lineRule="atLeast"/>
              <w:jc w:val="left"/>
              <w:rPr>
                <w:rFonts w:ascii="Calibri" w:hAnsi="Calibri" w:eastAsia="宋体" w:cs="Times New Roman"/>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7487C570">
            <w:pPr>
              <w:widowControl/>
              <w:spacing w:line="0" w:lineRule="atLeast"/>
              <w:jc w:val="left"/>
              <w:rPr>
                <w:rFonts w:ascii="Calibri" w:hAnsi="Calibri" w:eastAsia="宋体" w:cs="Times New Roman"/>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3E2894C4">
            <w:pPr>
              <w:widowControl/>
              <w:spacing w:line="0" w:lineRule="atLeast"/>
              <w:jc w:val="left"/>
              <w:rPr>
                <w:rFonts w:ascii="Calibri" w:hAnsi="Calibri" w:eastAsia="宋体" w:cs="Times New Roman"/>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54D4CF60">
            <w:pPr>
              <w:widowControl/>
              <w:spacing w:line="0" w:lineRule="atLeast"/>
              <w:jc w:val="left"/>
              <w:rPr>
                <w:rFonts w:ascii="Calibri" w:hAnsi="Calibri" w:eastAsia="宋体" w:cs="Times New Roman"/>
                <w:color w:val="000000"/>
                <w:kern w:val="0"/>
                <w:sz w:val="22"/>
                <w:szCs w:val="22"/>
              </w:rPr>
            </w:pPr>
          </w:p>
        </w:tc>
      </w:tr>
      <w:tr w14:paraId="21A61B87">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noWrap w:val="0"/>
            <w:vAlign w:val="center"/>
          </w:tcPr>
          <w:p w14:paraId="5F07CBC9">
            <w:pPr>
              <w:widowControl/>
              <w:spacing w:line="0" w:lineRule="atLeast"/>
              <w:jc w:val="left"/>
              <w:rPr>
                <w:rFonts w:ascii="Calibri" w:hAnsi="Calibri" w:eastAsia="宋体" w:cs="Times New Roman"/>
                <w:color w:val="000000"/>
                <w:kern w:val="0"/>
                <w:sz w:val="22"/>
                <w:szCs w:val="22"/>
              </w:rPr>
            </w:pPr>
          </w:p>
        </w:tc>
        <w:tc>
          <w:tcPr>
            <w:tcW w:w="980" w:type="dxa"/>
            <w:vMerge w:val="restart"/>
            <w:tcBorders>
              <w:top w:val="single" w:color="auto" w:sz="4" w:space="0"/>
              <w:left w:val="single" w:color="auto" w:sz="4" w:space="0"/>
              <w:right w:val="single" w:color="auto" w:sz="4" w:space="0"/>
            </w:tcBorders>
            <w:noWrap w:val="0"/>
            <w:vAlign w:val="center"/>
          </w:tcPr>
          <w:p w14:paraId="0C630B15">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满意度</w:t>
            </w:r>
          </w:p>
          <w:p w14:paraId="78691347">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指标(10分)</w:t>
            </w:r>
          </w:p>
        </w:tc>
        <w:tc>
          <w:tcPr>
            <w:tcW w:w="1112" w:type="dxa"/>
            <w:vMerge w:val="restart"/>
            <w:tcBorders>
              <w:top w:val="single" w:color="auto" w:sz="4" w:space="0"/>
              <w:left w:val="single" w:color="auto" w:sz="4" w:space="0"/>
              <w:bottom w:val="single" w:color="auto" w:sz="4" w:space="0"/>
              <w:right w:val="single" w:color="auto" w:sz="4" w:space="0"/>
            </w:tcBorders>
            <w:noWrap w:val="0"/>
            <w:vAlign w:val="center"/>
          </w:tcPr>
          <w:p w14:paraId="38E4EEF9">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服务对象满意度指标</w:t>
            </w:r>
          </w:p>
        </w:tc>
        <w:tc>
          <w:tcPr>
            <w:tcW w:w="2138" w:type="dxa"/>
            <w:gridSpan w:val="3"/>
            <w:tcBorders>
              <w:top w:val="single" w:color="auto" w:sz="4" w:space="0"/>
              <w:left w:val="nil"/>
              <w:bottom w:val="single" w:color="auto" w:sz="4" w:space="0"/>
              <w:right w:val="single" w:color="auto" w:sz="4" w:space="0"/>
            </w:tcBorders>
            <w:noWrap w:val="0"/>
            <w:vAlign w:val="center"/>
          </w:tcPr>
          <w:p w14:paraId="1BF71D7A">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群众满意度</w:t>
            </w:r>
          </w:p>
        </w:tc>
        <w:tc>
          <w:tcPr>
            <w:tcW w:w="860" w:type="dxa"/>
            <w:tcBorders>
              <w:top w:val="single" w:color="auto" w:sz="4" w:space="0"/>
              <w:left w:val="nil"/>
              <w:bottom w:val="single" w:color="auto" w:sz="4" w:space="0"/>
              <w:right w:val="single" w:color="auto" w:sz="4" w:space="0"/>
            </w:tcBorders>
            <w:noWrap w:val="0"/>
            <w:vAlign w:val="center"/>
          </w:tcPr>
          <w:p w14:paraId="69DE4356">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100%</w:t>
            </w:r>
          </w:p>
        </w:tc>
        <w:tc>
          <w:tcPr>
            <w:tcW w:w="851" w:type="dxa"/>
            <w:tcBorders>
              <w:top w:val="single" w:color="auto" w:sz="4" w:space="0"/>
              <w:left w:val="nil"/>
              <w:bottom w:val="single" w:color="auto" w:sz="4" w:space="0"/>
              <w:right w:val="single" w:color="auto" w:sz="4" w:space="0"/>
            </w:tcBorders>
            <w:noWrap w:val="0"/>
            <w:vAlign w:val="center"/>
          </w:tcPr>
          <w:p w14:paraId="746B6FAD">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100%</w:t>
            </w:r>
          </w:p>
        </w:tc>
        <w:tc>
          <w:tcPr>
            <w:tcW w:w="567" w:type="dxa"/>
            <w:gridSpan w:val="2"/>
            <w:tcBorders>
              <w:top w:val="single" w:color="auto" w:sz="4" w:space="0"/>
              <w:left w:val="nil"/>
              <w:bottom w:val="single" w:color="auto" w:sz="4" w:space="0"/>
              <w:right w:val="single" w:color="auto" w:sz="4" w:space="0"/>
            </w:tcBorders>
            <w:noWrap w:val="0"/>
            <w:vAlign w:val="center"/>
          </w:tcPr>
          <w:p w14:paraId="68EC2C65">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w:t>
            </w:r>
          </w:p>
        </w:tc>
        <w:tc>
          <w:tcPr>
            <w:tcW w:w="567" w:type="dxa"/>
            <w:gridSpan w:val="2"/>
            <w:tcBorders>
              <w:top w:val="single" w:color="auto" w:sz="4" w:space="0"/>
              <w:left w:val="nil"/>
              <w:bottom w:val="single" w:color="auto" w:sz="4" w:space="0"/>
              <w:right w:val="single" w:color="auto" w:sz="4" w:space="0"/>
            </w:tcBorders>
            <w:noWrap w:val="0"/>
            <w:vAlign w:val="center"/>
          </w:tcPr>
          <w:p w14:paraId="0626C99E">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9</w:t>
            </w:r>
          </w:p>
        </w:tc>
        <w:tc>
          <w:tcPr>
            <w:tcW w:w="1417" w:type="dxa"/>
            <w:gridSpan w:val="2"/>
            <w:tcBorders>
              <w:top w:val="single" w:color="auto" w:sz="4" w:space="0"/>
              <w:left w:val="nil"/>
              <w:bottom w:val="single" w:color="auto" w:sz="4" w:space="0"/>
              <w:right w:val="single" w:color="auto" w:sz="4" w:space="0"/>
            </w:tcBorders>
            <w:noWrap w:val="0"/>
            <w:vAlign w:val="center"/>
          </w:tcPr>
          <w:p w14:paraId="60D6512C">
            <w:pPr>
              <w:widowControl/>
              <w:spacing w:line="0" w:lineRule="atLeast"/>
              <w:jc w:val="left"/>
              <w:rPr>
                <w:rFonts w:ascii="Calibri" w:hAnsi="Calibri" w:eastAsia="宋体" w:cs="Times New Roman"/>
                <w:color w:val="000000"/>
                <w:kern w:val="0"/>
                <w:sz w:val="22"/>
                <w:szCs w:val="22"/>
              </w:rPr>
            </w:pPr>
          </w:p>
        </w:tc>
      </w:tr>
      <w:tr w14:paraId="6DBAF990">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0D01CB65">
            <w:pPr>
              <w:widowControl/>
              <w:spacing w:line="0" w:lineRule="atLeast"/>
              <w:jc w:val="left"/>
              <w:rPr>
                <w:rFonts w:ascii="Calibri" w:hAnsi="Calibri" w:eastAsia="宋体" w:cs="Times New Roman"/>
                <w:color w:val="000000"/>
                <w:kern w:val="0"/>
                <w:sz w:val="22"/>
                <w:szCs w:val="22"/>
              </w:rPr>
            </w:pPr>
          </w:p>
        </w:tc>
        <w:tc>
          <w:tcPr>
            <w:tcW w:w="980" w:type="dxa"/>
            <w:vMerge w:val="continue"/>
            <w:tcBorders>
              <w:left w:val="single" w:color="auto" w:sz="4" w:space="0"/>
              <w:right w:val="single" w:color="auto" w:sz="4" w:space="0"/>
            </w:tcBorders>
            <w:noWrap w:val="0"/>
            <w:vAlign w:val="center"/>
          </w:tcPr>
          <w:p w14:paraId="7F72C624">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16F0C1DE">
            <w:pPr>
              <w:widowControl/>
              <w:spacing w:line="0" w:lineRule="atLeast"/>
              <w:jc w:val="left"/>
              <w:rPr>
                <w:rFonts w:ascii="Calibri" w:hAnsi="Calibri" w:eastAsia="宋体" w:cs="Times New Roman"/>
                <w:color w:val="000000"/>
                <w:kern w:val="0"/>
                <w:sz w:val="22"/>
                <w:szCs w:val="22"/>
              </w:rPr>
            </w:pPr>
          </w:p>
        </w:tc>
        <w:tc>
          <w:tcPr>
            <w:tcW w:w="2138" w:type="dxa"/>
            <w:gridSpan w:val="3"/>
            <w:tcBorders>
              <w:top w:val="single" w:color="auto" w:sz="4" w:space="0"/>
              <w:left w:val="nil"/>
              <w:bottom w:val="single" w:color="auto" w:sz="4" w:space="0"/>
              <w:right w:val="single" w:color="auto" w:sz="4" w:space="0"/>
            </w:tcBorders>
            <w:noWrap w:val="0"/>
            <w:vAlign w:val="center"/>
          </w:tcPr>
          <w:p w14:paraId="7DFEDFDC">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指标2：</w:t>
            </w:r>
          </w:p>
        </w:tc>
        <w:tc>
          <w:tcPr>
            <w:tcW w:w="860" w:type="dxa"/>
            <w:tcBorders>
              <w:top w:val="nil"/>
              <w:left w:val="nil"/>
              <w:bottom w:val="single" w:color="auto" w:sz="4" w:space="0"/>
              <w:right w:val="single" w:color="auto" w:sz="4" w:space="0"/>
            </w:tcBorders>
            <w:noWrap w:val="0"/>
            <w:vAlign w:val="center"/>
          </w:tcPr>
          <w:p w14:paraId="762E577E">
            <w:pPr>
              <w:widowControl/>
              <w:spacing w:line="0" w:lineRule="atLeast"/>
              <w:jc w:val="left"/>
              <w:rPr>
                <w:rFonts w:ascii="Calibri" w:hAnsi="Calibri" w:eastAsia="宋体" w:cs="Times New Roman"/>
                <w:color w:val="000000"/>
                <w:kern w:val="0"/>
                <w:sz w:val="22"/>
                <w:szCs w:val="22"/>
              </w:rPr>
            </w:pPr>
          </w:p>
        </w:tc>
        <w:tc>
          <w:tcPr>
            <w:tcW w:w="851" w:type="dxa"/>
            <w:tcBorders>
              <w:top w:val="nil"/>
              <w:left w:val="nil"/>
              <w:bottom w:val="single" w:color="auto" w:sz="4" w:space="0"/>
              <w:right w:val="single" w:color="auto" w:sz="4" w:space="0"/>
            </w:tcBorders>
            <w:noWrap w:val="0"/>
            <w:vAlign w:val="center"/>
          </w:tcPr>
          <w:p w14:paraId="2AE28566">
            <w:pPr>
              <w:widowControl/>
              <w:spacing w:line="0" w:lineRule="atLeast"/>
              <w:jc w:val="left"/>
              <w:rPr>
                <w:rFonts w:ascii="Calibri" w:hAnsi="Calibri" w:eastAsia="宋体" w:cs="Times New Roman"/>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43337614">
            <w:pPr>
              <w:widowControl/>
              <w:spacing w:line="0" w:lineRule="atLeast"/>
              <w:jc w:val="left"/>
              <w:rPr>
                <w:rFonts w:ascii="Calibri" w:hAnsi="Calibri" w:eastAsia="宋体" w:cs="Times New Roman"/>
                <w:color w:val="000000"/>
                <w:kern w:val="0"/>
                <w:sz w:val="22"/>
                <w:szCs w:val="22"/>
              </w:rPr>
            </w:pPr>
          </w:p>
        </w:tc>
        <w:tc>
          <w:tcPr>
            <w:tcW w:w="567" w:type="dxa"/>
            <w:gridSpan w:val="2"/>
            <w:tcBorders>
              <w:top w:val="nil"/>
              <w:left w:val="nil"/>
              <w:bottom w:val="single" w:color="auto" w:sz="4" w:space="0"/>
              <w:right w:val="single" w:color="auto" w:sz="4" w:space="0"/>
            </w:tcBorders>
            <w:noWrap w:val="0"/>
            <w:vAlign w:val="center"/>
          </w:tcPr>
          <w:p w14:paraId="7904823C">
            <w:pPr>
              <w:widowControl/>
              <w:spacing w:line="0" w:lineRule="atLeast"/>
              <w:jc w:val="left"/>
              <w:rPr>
                <w:rFonts w:ascii="Calibri" w:hAnsi="Calibri" w:eastAsia="宋体" w:cs="Times New Roman"/>
                <w:color w:val="000000"/>
                <w:kern w:val="0"/>
                <w:sz w:val="22"/>
                <w:szCs w:val="22"/>
              </w:rPr>
            </w:pPr>
          </w:p>
        </w:tc>
        <w:tc>
          <w:tcPr>
            <w:tcW w:w="1417" w:type="dxa"/>
            <w:gridSpan w:val="2"/>
            <w:tcBorders>
              <w:top w:val="single" w:color="auto" w:sz="4" w:space="0"/>
              <w:left w:val="nil"/>
              <w:bottom w:val="single" w:color="auto" w:sz="4" w:space="0"/>
              <w:right w:val="single" w:color="auto" w:sz="4" w:space="0"/>
            </w:tcBorders>
            <w:noWrap w:val="0"/>
            <w:vAlign w:val="center"/>
          </w:tcPr>
          <w:p w14:paraId="3541A65C">
            <w:pPr>
              <w:widowControl/>
              <w:spacing w:line="0" w:lineRule="atLeast"/>
              <w:jc w:val="left"/>
              <w:rPr>
                <w:rFonts w:ascii="Calibri" w:hAnsi="Calibri" w:eastAsia="宋体" w:cs="Times New Roman"/>
                <w:color w:val="000000"/>
                <w:kern w:val="0"/>
                <w:sz w:val="22"/>
                <w:szCs w:val="22"/>
              </w:rPr>
            </w:pPr>
          </w:p>
        </w:tc>
      </w:tr>
      <w:tr w14:paraId="2A26432D">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14:paraId="1847B68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总分</w:t>
            </w:r>
          </w:p>
        </w:tc>
        <w:tc>
          <w:tcPr>
            <w:tcW w:w="567" w:type="dxa"/>
            <w:gridSpan w:val="2"/>
            <w:tcBorders>
              <w:top w:val="nil"/>
              <w:left w:val="nil"/>
              <w:bottom w:val="single" w:color="auto" w:sz="4" w:space="0"/>
              <w:right w:val="single" w:color="auto" w:sz="4" w:space="0"/>
            </w:tcBorders>
            <w:noWrap w:val="0"/>
            <w:vAlign w:val="center"/>
          </w:tcPr>
          <w:p w14:paraId="57CD341E">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100</w:t>
            </w:r>
          </w:p>
        </w:tc>
        <w:tc>
          <w:tcPr>
            <w:tcW w:w="567" w:type="dxa"/>
            <w:gridSpan w:val="2"/>
            <w:tcBorders>
              <w:top w:val="nil"/>
              <w:left w:val="nil"/>
              <w:bottom w:val="single" w:color="auto" w:sz="4" w:space="0"/>
              <w:right w:val="single" w:color="auto" w:sz="4" w:space="0"/>
            </w:tcBorders>
            <w:noWrap w:val="0"/>
            <w:vAlign w:val="center"/>
          </w:tcPr>
          <w:p w14:paraId="5CEA63D8">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92</w:t>
            </w:r>
          </w:p>
        </w:tc>
        <w:tc>
          <w:tcPr>
            <w:tcW w:w="1417" w:type="dxa"/>
            <w:gridSpan w:val="2"/>
            <w:tcBorders>
              <w:top w:val="single" w:color="auto" w:sz="4" w:space="0"/>
              <w:left w:val="nil"/>
              <w:bottom w:val="single" w:color="auto" w:sz="4" w:space="0"/>
              <w:right w:val="single" w:color="auto" w:sz="4" w:space="0"/>
            </w:tcBorders>
            <w:noWrap w:val="0"/>
            <w:vAlign w:val="center"/>
          </w:tcPr>
          <w:p w14:paraId="076DE5C3">
            <w:pPr>
              <w:widowControl/>
              <w:spacing w:line="0" w:lineRule="atLeast"/>
              <w:jc w:val="left"/>
              <w:rPr>
                <w:rFonts w:ascii="Calibri" w:hAnsi="Calibri" w:eastAsia="宋体" w:cs="Times New Roman"/>
                <w:color w:val="000000"/>
                <w:kern w:val="0"/>
                <w:sz w:val="22"/>
                <w:szCs w:val="22"/>
              </w:rPr>
            </w:pPr>
          </w:p>
        </w:tc>
      </w:tr>
    </w:tbl>
    <w:p w14:paraId="22405B66">
      <w:pPr>
        <w:widowControl/>
        <w:spacing w:line="400" w:lineRule="exact"/>
        <w:jc w:val="left"/>
        <w:rPr>
          <w:color w:val="000000"/>
          <w:kern w:val="0"/>
          <w:sz w:val="18"/>
          <w:szCs w:val="18"/>
        </w:rPr>
      </w:pPr>
      <w:r>
        <w:rPr>
          <w:color w:val="000000"/>
          <w:kern w:val="0"/>
          <w:sz w:val="22"/>
          <w:szCs w:val="22"/>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2" name="矩形 2"/>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c6batcAAAAJAQAADwAAAAAAAAABACAAAAAiAAAAZHJzL2Rvd25yZXYueG1sUEsB&#10;AhQAFAAAAAgAh07iQDGWLgz2AQAAHgQAAA4AAAAAAAAAAQAgAAAAJgEAAGRycy9lMm9Eb2MueG1s&#10;UEsFBgAAAAAGAAYAWQEAAI4FAAAAAA==&#10;">
                <v:fill on="t" focussize="0,0"/>
                <v:stroke color="#FFFFFF" joinstyle="miter"/>
                <v:imagedata o:title=""/>
                <o:lock v:ext="edit" aspectratio="f"/>
              </v:rect>
            </w:pict>
          </mc:Fallback>
        </mc:AlternateContent>
      </w:r>
    </w:p>
    <w:tbl>
      <w:tblPr>
        <w:tblStyle w:val="8"/>
        <w:tblW w:w="9540" w:type="dxa"/>
        <w:tblInd w:w="97" w:type="dxa"/>
        <w:tblLayout w:type="fixed"/>
        <w:tblCellMar>
          <w:top w:w="0" w:type="dxa"/>
          <w:left w:w="108" w:type="dxa"/>
          <w:bottom w:w="0" w:type="dxa"/>
          <w:right w:w="108" w:type="dxa"/>
        </w:tblCellMar>
      </w:tblPr>
      <w:tblGrid>
        <w:gridCol w:w="9540"/>
      </w:tblGrid>
      <w:tr w14:paraId="28BBCD84">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noWrap w:val="0"/>
            <w:vAlign w:val="center"/>
          </w:tcPr>
          <w:p w14:paraId="505F5CC5">
            <w:pPr>
              <w:widowControl/>
              <w:spacing w:line="400" w:lineRule="exact"/>
              <w:jc w:val="left"/>
              <w:rPr>
                <w:color w:val="000000"/>
                <w:kern w:val="0"/>
                <w:sz w:val="18"/>
                <w:szCs w:val="18"/>
              </w:rPr>
            </w:pPr>
            <w:r>
              <w:rPr>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14:paraId="29607937">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14:paraId="788D657F">
            <w:pPr>
              <w:widowControl/>
              <w:spacing w:line="400" w:lineRule="exact"/>
              <w:jc w:val="left"/>
              <w:rPr>
                <w:color w:val="000000"/>
                <w:kern w:val="0"/>
                <w:sz w:val="18"/>
                <w:szCs w:val="18"/>
              </w:rPr>
            </w:pPr>
            <w:r>
              <w:rPr>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14:paraId="7A8848A9">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14:paraId="4C7AA875">
            <w:pPr>
              <w:widowControl/>
              <w:spacing w:line="400" w:lineRule="exact"/>
              <w:jc w:val="left"/>
              <w:rPr>
                <w:color w:val="000000"/>
                <w:kern w:val="0"/>
                <w:sz w:val="18"/>
                <w:szCs w:val="18"/>
              </w:rPr>
            </w:pPr>
            <w:r>
              <w:rPr>
                <w:color w:val="000000"/>
                <w:kern w:val="0"/>
                <w:sz w:val="18"/>
                <w:szCs w:val="18"/>
              </w:rPr>
              <w:t xml:space="preserve">    3.定量指标若为正向指标（即指标值为≥*），则得分计算方法应用全年实际值（B）/年度指标值（A）</w:t>
            </w:r>
            <w:r>
              <w:rPr>
                <w:color w:val="000000"/>
                <w:kern w:val="0"/>
                <w:sz w:val="12"/>
                <w:szCs w:val="12"/>
              </w:rPr>
              <w:t>╳</w:t>
            </w:r>
            <w:r>
              <w:rPr>
                <w:color w:val="000000"/>
                <w:kern w:val="0"/>
                <w:sz w:val="18"/>
                <w:szCs w:val="18"/>
              </w:rPr>
              <w:t>该指标分值；若定量指标为反向指标（即指标值为≤*），则得分计算方法应用年度指标值（A）/全年实际值（B）</w:t>
            </w:r>
            <w:r>
              <w:rPr>
                <w:color w:val="000000"/>
                <w:kern w:val="0"/>
                <w:sz w:val="12"/>
                <w:szCs w:val="12"/>
              </w:rPr>
              <w:t>╳</w:t>
            </w:r>
            <w:r>
              <w:rPr>
                <w:color w:val="000000"/>
                <w:kern w:val="0"/>
                <w:sz w:val="18"/>
                <w:szCs w:val="18"/>
              </w:rPr>
              <w:t>该指标分值。</w:t>
            </w:r>
          </w:p>
        </w:tc>
      </w:tr>
      <w:tr w14:paraId="0EAC218E">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14:paraId="711AF481">
            <w:pPr>
              <w:widowControl/>
              <w:spacing w:line="400" w:lineRule="exact"/>
              <w:jc w:val="left"/>
              <w:rPr>
                <w:color w:val="000000"/>
                <w:kern w:val="0"/>
                <w:sz w:val="18"/>
                <w:szCs w:val="18"/>
              </w:rPr>
            </w:pPr>
            <w:r>
              <w:rPr>
                <w:color w:val="000000"/>
                <w:kern w:val="0"/>
                <w:sz w:val="18"/>
                <w:szCs w:val="18"/>
              </w:rPr>
              <w:t xml:space="preserve">    4.请在“</w:t>
            </w:r>
            <w:r>
              <w:rPr>
                <w:kern w:val="0"/>
                <w:sz w:val="18"/>
                <w:szCs w:val="18"/>
              </w:rPr>
              <w:t>偏差原因分析及改进措施</w:t>
            </w:r>
            <w:r>
              <w:rPr>
                <w:color w:val="000000"/>
                <w:kern w:val="0"/>
                <w:sz w:val="18"/>
                <w:szCs w:val="18"/>
              </w:rPr>
              <w:t>”中说明偏离目标、不能完成目标的原因及拟采取的措施。</w:t>
            </w:r>
          </w:p>
        </w:tc>
      </w:tr>
    </w:tbl>
    <w:p w14:paraId="744760AF">
      <w:pPr>
        <w:widowControl/>
        <w:spacing w:line="400" w:lineRule="exact"/>
        <w:jc w:val="left"/>
        <w:rPr>
          <w:color w:val="000000"/>
          <w:kern w:val="0"/>
          <w:sz w:val="18"/>
          <w:szCs w:val="18"/>
        </w:rPr>
      </w:pPr>
    </w:p>
    <w:p w14:paraId="61011107"/>
    <w:p w14:paraId="2368070C">
      <w:pPr>
        <w:rPr>
          <w:rFonts w:eastAsia="黑体"/>
        </w:rPr>
        <w:sectPr>
          <w:footerReference r:id="rId3" w:type="default"/>
          <w:pgSz w:w="11906" w:h="16838"/>
          <w:pgMar w:top="1587" w:right="1587" w:bottom="1587" w:left="1587" w:header="737" w:footer="850" w:gutter="0"/>
          <w:cols w:space="720" w:num="1"/>
          <w:docGrid w:type="lines" w:linePitch="408" w:charSpace="0"/>
        </w:sectPr>
      </w:pPr>
    </w:p>
    <w:p w14:paraId="13FB6E61">
      <w:pPr>
        <w:spacing w:line="560" w:lineRule="exact"/>
        <w:rPr>
          <w:rFonts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2</w:t>
      </w:r>
    </w:p>
    <w:p w14:paraId="4D294BC2">
      <w:pPr>
        <w:pStyle w:val="5"/>
        <w:spacing w:before="0" w:after="0" w:line="240" w:lineRule="auto"/>
        <w:jc w:val="center"/>
        <w:rPr>
          <w:rFonts w:hint="eastAsia" w:ascii="Times New Roman" w:hAnsi="Times New Roman" w:eastAsia="宋体"/>
          <w:bCs/>
          <w:color w:val="000000"/>
          <w:sz w:val="36"/>
          <w:szCs w:val="28"/>
          <w:lang w:eastAsia="zh-CN"/>
        </w:rPr>
      </w:pPr>
      <w:r>
        <w:rPr>
          <w:rFonts w:ascii="Times New Roman" w:hAnsi="Times New Roman" w:eastAsia="宋体"/>
          <w:bCs/>
          <w:color w:val="000000"/>
          <w:sz w:val="36"/>
          <w:szCs w:val="28"/>
        </w:rPr>
        <w:t>项目支出绩效评价指标</w:t>
      </w:r>
      <w:r>
        <w:rPr>
          <w:rFonts w:hint="eastAsia" w:ascii="Times New Roman" w:hAnsi="Times New Roman" w:eastAsia="宋体"/>
          <w:bCs/>
          <w:color w:val="000000"/>
          <w:sz w:val="36"/>
          <w:szCs w:val="28"/>
          <w:lang w:eastAsia="zh-CN"/>
        </w:rPr>
        <w:t>体系</w:t>
      </w:r>
    </w:p>
    <w:tbl>
      <w:tblPr>
        <w:tblStyle w:val="8"/>
        <w:tblW w:w="1369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90"/>
        <w:gridCol w:w="705"/>
        <w:gridCol w:w="1140"/>
        <w:gridCol w:w="600"/>
        <w:gridCol w:w="2265"/>
        <w:gridCol w:w="5715"/>
        <w:gridCol w:w="2013"/>
        <w:gridCol w:w="566"/>
      </w:tblGrid>
      <w:tr w14:paraId="7F147A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57" w:hRule="atLeast"/>
          <w:tblHeader/>
          <w:jc w:val="center"/>
        </w:trPr>
        <w:tc>
          <w:tcPr>
            <w:tcW w:w="690" w:type="dxa"/>
            <w:shd w:val="clear" w:color="auto" w:fill="FFFFFF"/>
            <w:noWrap w:val="0"/>
            <w:vAlign w:val="center"/>
          </w:tcPr>
          <w:p w14:paraId="73370781">
            <w:pPr>
              <w:widowControl/>
              <w:spacing w:line="0" w:lineRule="atLeast"/>
              <w:jc w:val="center"/>
              <w:rPr>
                <w:b/>
                <w:bCs/>
                <w:color w:val="000000"/>
                <w:kern w:val="0"/>
                <w:sz w:val="22"/>
                <w:szCs w:val="22"/>
              </w:rPr>
            </w:pPr>
            <w:r>
              <w:rPr>
                <w:b/>
                <w:bCs/>
                <w:color w:val="000000"/>
                <w:kern w:val="0"/>
                <w:sz w:val="22"/>
                <w:szCs w:val="22"/>
              </w:rPr>
              <w:t>一级指标</w:t>
            </w:r>
          </w:p>
        </w:tc>
        <w:tc>
          <w:tcPr>
            <w:tcW w:w="705" w:type="dxa"/>
            <w:shd w:val="clear" w:color="auto" w:fill="FFFFFF"/>
            <w:noWrap w:val="0"/>
            <w:vAlign w:val="center"/>
          </w:tcPr>
          <w:p w14:paraId="7BFDD88F">
            <w:pPr>
              <w:widowControl/>
              <w:spacing w:line="0" w:lineRule="atLeast"/>
              <w:jc w:val="center"/>
              <w:rPr>
                <w:b/>
                <w:bCs/>
                <w:color w:val="000000"/>
                <w:kern w:val="0"/>
                <w:sz w:val="22"/>
                <w:szCs w:val="22"/>
              </w:rPr>
            </w:pPr>
            <w:r>
              <w:rPr>
                <w:b/>
                <w:bCs/>
                <w:color w:val="000000"/>
                <w:kern w:val="0"/>
                <w:sz w:val="22"/>
                <w:szCs w:val="22"/>
              </w:rPr>
              <w:t>二级指标</w:t>
            </w:r>
          </w:p>
        </w:tc>
        <w:tc>
          <w:tcPr>
            <w:tcW w:w="1140" w:type="dxa"/>
            <w:shd w:val="clear" w:color="auto" w:fill="FFFFFF"/>
            <w:noWrap w:val="0"/>
            <w:vAlign w:val="center"/>
          </w:tcPr>
          <w:p w14:paraId="09599C49">
            <w:pPr>
              <w:widowControl/>
              <w:spacing w:line="0" w:lineRule="atLeast"/>
              <w:jc w:val="center"/>
              <w:rPr>
                <w:b/>
                <w:bCs/>
                <w:color w:val="000000"/>
                <w:kern w:val="0"/>
                <w:sz w:val="22"/>
                <w:szCs w:val="22"/>
              </w:rPr>
            </w:pPr>
            <w:r>
              <w:rPr>
                <w:b/>
                <w:bCs/>
                <w:color w:val="000000"/>
                <w:kern w:val="0"/>
                <w:sz w:val="22"/>
                <w:szCs w:val="22"/>
              </w:rPr>
              <w:t>三级指标</w:t>
            </w:r>
          </w:p>
        </w:tc>
        <w:tc>
          <w:tcPr>
            <w:tcW w:w="600" w:type="dxa"/>
            <w:shd w:val="clear" w:color="auto" w:fill="FFFFFF"/>
            <w:noWrap w:val="0"/>
            <w:vAlign w:val="top"/>
          </w:tcPr>
          <w:p w14:paraId="461CC169">
            <w:pPr>
              <w:widowControl/>
              <w:spacing w:line="0" w:lineRule="atLeast"/>
              <w:jc w:val="center"/>
              <w:rPr>
                <w:b/>
                <w:bCs/>
                <w:color w:val="000000"/>
                <w:kern w:val="0"/>
                <w:sz w:val="22"/>
                <w:szCs w:val="22"/>
              </w:rPr>
            </w:pPr>
            <w:r>
              <w:rPr>
                <w:b/>
                <w:bCs/>
                <w:color w:val="000000"/>
                <w:kern w:val="0"/>
                <w:sz w:val="22"/>
                <w:szCs w:val="22"/>
              </w:rPr>
              <w:t>分</w:t>
            </w:r>
          </w:p>
          <w:p w14:paraId="1C617017">
            <w:pPr>
              <w:widowControl/>
              <w:spacing w:line="0" w:lineRule="atLeast"/>
              <w:jc w:val="center"/>
              <w:rPr>
                <w:b/>
                <w:bCs/>
                <w:color w:val="000000"/>
                <w:kern w:val="0"/>
                <w:sz w:val="22"/>
                <w:szCs w:val="22"/>
              </w:rPr>
            </w:pPr>
            <w:r>
              <w:rPr>
                <w:b/>
                <w:bCs/>
                <w:color w:val="000000"/>
                <w:kern w:val="0"/>
                <w:sz w:val="22"/>
                <w:szCs w:val="22"/>
              </w:rPr>
              <w:t>值</w:t>
            </w:r>
          </w:p>
        </w:tc>
        <w:tc>
          <w:tcPr>
            <w:tcW w:w="2265" w:type="dxa"/>
            <w:shd w:val="clear" w:color="auto" w:fill="FFFFFF"/>
            <w:noWrap w:val="0"/>
            <w:vAlign w:val="center"/>
          </w:tcPr>
          <w:p w14:paraId="5A96D808">
            <w:pPr>
              <w:widowControl/>
              <w:spacing w:line="0" w:lineRule="atLeast"/>
              <w:jc w:val="center"/>
              <w:rPr>
                <w:b/>
                <w:bCs/>
                <w:color w:val="000000"/>
                <w:kern w:val="0"/>
                <w:sz w:val="22"/>
                <w:szCs w:val="22"/>
              </w:rPr>
            </w:pPr>
            <w:r>
              <w:rPr>
                <w:b/>
                <w:bCs/>
                <w:color w:val="000000"/>
                <w:kern w:val="0"/>
                <w:sz w:val="22"/>
                <w:szCs w:val="22"/>
              </w:rPr>
              <w:t>指标解释</w:t>
            </w:r>
          </w:p>
        </w:tc>
        <w:tc>
          <w:tcPr>
            <w:tcW w:w="5715" w:type="dxa"/>
            <w:shd w:val="clear" w:color="auto" w:fill="FFFFFF"/>
            <w:noWrap w:val="0"/>
            <w:vAlign w:val="center"/>
          </w:tcPr>
          <w:p w14:paraId="4FB186B4">
            <w:pPr>
              <w:widowControl/>
              <w:spacing w:line="0" w:lineRule="atLeast"/>
              <w:jc w:val="center"/>
              <w:rPr>
                <w:b/>
                <w:bCs/>
                <w:color w:val="000000"/>
                <w:kern w:val="0"/>
                <w:sz w:val="22"/>
                <w:szCs w:val="22"/>
              </w:rPr>
            </w:pPr>
            <w:r>
              <w:rPr>
                <w:b/>
                <w:bCs/>
                <w:color w:val="000000"/>
                <w:kern w:val="0"/>
                <w:sz w:val="22"/>
                <w:szCs w:val="22"/>
              </w:rPr>
              <w:t>指标说明</w:t>
            </w:r>
          </w:p>
        </w:tc>
        <w:tc>
          <w:tcPr>
            <w:tcW w:w="2013" w:type="dxa"/>
            <w:shd w:val="clear" w:color="auto" w:fill="FFFFFF"/>
            <w:noWrap w:val="0"/>
            <w:vAlign w:val="center"/>
          </w:tcPr>
          <w:p w14:paraId="0DBC9A6C">
            <w:pPr>
              <w:widowControl/>
              <w:spacing w:line="0" w:lineRule="atLeast"/>
              <w:jc w:val="center"/>
              <w:rPr>
                <w:b/>
                <w:bCs/>
                <w:color w:val="000000"/>
                <w:kern w:val="0"/>
                <w:sz w:val="22"/>
                <w:szCs w:val="22"/>
              </w:rPr>
            </w:pPr>
            <w:r>
              <w:rPr>
                <w:rFonts w:hint="eastAsia" w:ascii="Times New Roman" w:hAnsi="Times New Roman"/>
                <w:b/>
                <w:bCs/>
                <w:color w:val="000000"/>
                <w:kern w:val="0"/>
                <w:sz w:val="22"/>
                <w:lang w:eastAsia="zh-CN"/>
              </w:rPr>
              <w:t>评分标准</w:t>
            </w:r>
          </w:p>
        </w:tc>
        <w:tc>
          <w:tcPr>
            <w:tcW w:w="566" w:type="dxa"/>
            <w:shd w:val="clear" w:color="auto" w:fill="FFFFFF"/>
            <w:noWrap w:val="0"/>
            <w:vAlign w:val="center"/>
          </w:tcPr>
          <w:p w14:paraId="547A92C5">
            <w:pPr>
              <w:widowControl/>
              <w:spacing w:line="0" w:lineRule="atLeast"/>
              <w:jc w:val="center"/>
              <w:rPr>
                <w:b/>
                <w:bCs/>
                <w:color w:val="000000"/>
                <w:kern w:val="0"/>
                <w:sz w:val="22"/>
                <w:szCs w:val="22"/>
              </w:rPr>
            </w:pPr>
            <w:r>
              <w:rPr>
                <w:b/>
                <w:bCs/>
                <w:color w:val="000000"/>
                <w:kern w:val="0"/>
                <w:sz w:val="22"/>
                <w:szCs w:val="22"/>
              </w:rPr>
              <w:t>得分</w:t>
            </w:r>
          </w:p>
        </w:tc>
      </w:tr>
      <w:tr w14:paraId="7AA256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90" w:type="dxa"/>
            <w:vMerge w:val="restart"/>
            <w:shd w:val="clear" w:color="auto" w:fill="FFFFFF"/>
            <w:noWrap w:val="0"/>
            <w:vAlign w:val="center"/>
          </w:tcPr>
          <w:p w14:paraId="561BF75B">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决策　</w:t>
            </w:r>
          </w:p>
          <w:p w14:paraId="5316056E">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　</w:t>
            </w:r>
          </w:p>
          <w:p w14:paraId="770A6374">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　</w:t>
            </w:r>
          </w:p>
        </w:tc>
        <w:tc>
          <w:tcPr>
            <w:tcW w:w="705" w:type="dxa"/>
            <w:vMerge w:val="restart"/>
            <w:shd w:val="clear" w:color="auto" w:fill="FFFFFF"/>
            <w:noWrap w:val="0"/>
            <w:vAlign w:val="center"/>
          </w:tcPr>
          <w:p w14:paraId="2C6E462F">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项目立项　</w:t>
            </w:r>
          </w:p>
        </w:tc>
        <w:tc>
          <w:tcPr>
            <w:tcW w:w="1140" w:type="dxa"/>
            <w:shd w:val="clear" w:color="auto" w:fill="FFFFFF"/>
            <w:noWrap w:val="0"/>
            <w:vAlign w:val="center"/>
          </w:tcPr>
          <w:p w14:paraId="261084D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立项依据</w:t>
            </w:r>
          </w:p>
          <w:p w14:paraId="7D38D214">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充分性</w:t>
            </w:r>
          </w:p>
        </w:tc>
        <w:tc>
          <w:tcPr>
            <w:tcW w:w="600" w:type="dxa"/>
            <w:shd w:val="clear" w:color="auto" w:fill="FFFFFF"/>
            <w:noWrap w:val="0"/>
            <w:vAlign w:val="center"/>
          </w:tcPr>
          <w:p w14:paraId="5FF3C29B">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4</w:t>
            </w:r>
          </w:p>
        </w:tc>
        <w:tc>
          <w:tcPr>
            <w:tcW w:w="2265" w:type="dxa"/>
            <w:shd w:val="clear" w:color="auto" w:fill="FFFFFF"/>
            <w:noWrap w:val="0"/>
            <w:vAlign w:val="center"/>
          </w:tcPr>
          <w:p w14:paraId="44A7920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项目立项是否符合法律法规、相关政策、发展规划以及部门职责，用以反映和考核项目立项依据情况。</w:t>
            </w:r>
          </w:p>
        </w:tc>
        <w:tc>
          <w:tcPr>
            <w:tcW w:w="5715" w:type="dxa"/>
            <w:shd w:val="clear" w:color="auto" w:fill="FFFFFF"/>
            <w:noWrap w:val="0"/>
            <w:vAlign w:val="center"/>
          </w:tcPr>
          <w:p w14:paraId="2F7ED342">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评价要点：</w:t>
            </w:r>
          </w:p>
          <w:p w14:paraId="4E3CB217">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①项目立项是否符合国家法律法规、国民经济发展规划和相关政策；</w:t>
            </w:r>
          </w:p>
          <w:p w14:paraId="45611894">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②项目立项是否符合行业发展规划和政策要求；</w:t>
            </w:r>
          </w:p>
          <w:p w14:paraId="1108F243">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③项目立项是否与部门职责范围相符，属于部门履职所需；</w:t>
            </w:r>
          </w:p>
          <w:p w14:paraId="6FA33411">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④项目是否属于公共财政支持范围，是否符合中央、地方事权支出责任划分原则；</w:t>
            </w:r>
          </w:p>
          <w:p w14:paraId="0F6559E5">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⑤项目是否与相关部门同类项目或部门内部相关项目重复。</w:t>
            </w:r>
          </w:p>
        </w:tc>
        <w:tc>
          <w:tcPr>
            <w:tcW w:w="2013" w:type="dxa"/>
            <w:shd w:val="clear" w:color="auto" w:fill="FFFFFF"/>
            <w:noWrap w:val="0"/>
            <w:vAlign w:val="center"/>
          </w:tcPr>
          <w:p w14:paraId="18B6CC7B">
            <w:pPr>
              <w:widowControl/>
              <w:spacing w:line="0" w:lineRule="atLeast"/>
              <w:jc w:val="center"/>
              <w:rPr>
                <w:rFonts w:hint="eastAsia" w:ascii="Calibri" w:hAnsi="Calibri" w:eastAsia="宋体" w:cs="Times New Roman"/>
                <w:color w:val="000000"/>
                <w:kern w:val="0"/>
                <w:sz w:val="22"/>
                <w:szCs w:val="22"/>
              </w:rPr>
            </w:pPr>
            <w:r>
              <w:rPr>
                <w:rFonts w:ascii="Calibri" w:hAnsi="Calibri" w:eastAsia="宋体" w:cs="Times New Roman"/>
                <w:color w:val="000000"/>
                <w:kern w:val="0"/>
                <w:sz w:val="22"/>
                <w:szCs w:val="22"/>
              </w:rPr>
              <w:t>项目立项符合法律法规</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2分</w:t>
            </w:r>
            <w:r>
              <w:rPr>
                <w:rFonts w:ascii="Calibri" w:hAnsi="Calibri" w:eastAsia="宋体" w:cs="Times New Roman"/>
                <w:color w:val="000000"/>
                <w:kern w:val="0"/>
                <w:sz w:val="22"/>
                <w:szCs w:val="22"/>
              </w:rPr>
              <w:t>、相关政策</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1分</w:t>
            </w:r>
            <w:r>
              <w:rPr>
                <w:rFonts w:ascii="Calibri" w:hAnsi="Calibri" w:eastAsia="宋体" w:cs="Times New Roman"/>
                <w:color w:val="000000"/>
                <w:kern w:val="0"/>
                <w:sz w:val="22"/>
                <w:szCs w:val="22"/>
              </w:rPr>
              <w:t>、</w:t>
            </w:r>
            <w:r>
              <w:rPr>
                <w:rFonts w:hint="eastAsia" w:ascii="Calibri" w:hAnsi="Calibri" w:eastAsia="宋体" w:cs="Times New Roman"/>
                <w:color w:val="000000"/>
                <w:kern w:val="0"/>
                <w:sz w:val="22"/>
                <w:szCs w:val="22"/>
                <w:lang w:eastAsia="zh-CN"/>
              </w:rPr>
              <w:t>符合</w:t>
            </w:r>
            <w:r>
              <w:rPr>
                <w:rFonts w:ascii="Calibri" w:hAnsi="Calibri" w:eastAsia="宋体" w:cs="Times New Roman"/>
                <w:color w:val="000000"/>
                <w:kern w:val="0"/>
                <w:sz w:val="22"/>
                <w:szCs w:val="22"/>
              </w:rPr>
              <w:t>发展规划</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1分，不符合不得分</w:t>
            </w:r>
          </w:p>
        </w:tc>
        <w:tc>
          <w:tcPr>
            <w:tcW w:w="566" w:type="dxa"/>
            <w:shd w:val="clear" w:color="auto" w:fill="FFFFFF"/>
            <w:noWrap w:val="0"/>
            <w:vAlign w:val="center"/>
          </w:tcPr>
          <w:p w14:paraId="0D1DBC96">
            <w:pPr>
              <w:widowControl/>
              <w:spacing w:line="0" w:lineRule="atLeast"/>
              <w:jc w:val="center"/>
              <w:rPr>
                <w:rFonts w:hint="eastAsia"/>
                <w:color w:val="000000"/>
                <w:kern w:val="0"/>
                <w:sz w:val="22"/>
                <w:szCs w:val="22"/>
              </w:rPr>
            </w:pPr>
            <w:r>
              <w:rPr>
                <w:rFonts w:hint="eastAsia"/>
                <w:color w:val="000000"/>
                <w:kern w:val="0"/>
                <w:sz w:val="22"/>
                <w:szCs w:val="22"/>
              </w:rPr>
              <w:t>4</w:t>
            </w:r>
          </w:p>
        </w:tc>
      </w:tr>
      <w:tr w14:paraId="4D73E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90" w:type="dxa"/>
            <w:vMerge w:val="continue"/>
            <w:shd w:val="clear" w:color="auto" w:fill="FFFFFF"/>
            <w:noWrap w:val="0"/>
            <w:vAlign w:val="center"/>
          </w:tcPr>
          <w:p w14:paraId="32C92F49">
            <w:pPr>
              <w:widowControl/>
              <w:spacing w:line="0" w:lineRule="atLeast"/>
              <w:jc w:val="center"/>
              <w:rPr>
                <w:rFonts w:ascii="Calibri" w:hAnsi="Calibri" w:eastAsia="宋体" w:cs="Times New Roman"/>
                <w:color w:val="000000"/>
                <w:kern w:val="0"/>
                <w:sz w:val="22"/>
                <w:szCs w:val="22"/>
              </w:rPr>
            </w:pPr>
          </w:p>
        </w:tc>
        <w:tc>
          <w:tcPr>
            <w:tcW w:w="705" w:type="dxa"/>
            <w:vMerge w:val="continue"/>
            <w:shd w:val="clear" w:color="auto" w:fill="FFFFFF"/>
            <w:noWrap w:val="0"/>
            <w:vAlign w:val="center"/>
          </w:tcPr>
          <w:p w14:paraId="04C0EFEF">
            <w:pPr>
              <w:widowControl/>
              <w:spacing w:line="0" w:lineRule="atLeast"/>
              <w:jc w:val="center"/>
              <w:rPr>
                <w:rFonts w:ascii="Calibri" w:hAnsi="Calibri" w:eastAsia="宋体" w:cs="Times New Roman"/>
                <w:color w:val="000000"/>
                <w:kern w:val="0"/>
                <w:sz w:val="22"/>
                <w:szCs w:val="22"/>
              </w:rPr>
            </w:pPr>
          </w:p>
        </w:tc>
        <w:tc>
          <w:tcPr>
            <w:tcW w:w="1140" w:type="dxa"/>
            <w:shd w:val="clear" w:color="auto" w:fill="FFFFFF"/>
            <w:noWrap w:val="0"/>
            <w:vAlign w:val="center"/>
          </w:tcPr>
          <w:p w14:paraId="57E6D402">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立项程序</w:t>
            </w:r>
          </w:p>
          <w:p w14:paraId="0674FCA6">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规范性</w:t>
            </w:r>
          </w:p>
        </w:tc>
        <w:tc>
          <w:tcPr>
            <w:tcW w:w="600" w:type="dxa"/>
            <w:shd w:val="clear" w:color="auto" w:fill="FFFFFF"/>
            <w:noWrap w:val="0"/>
            <w:vAlign w:val="center"/>
          </w:tcPr>
          <w:p w14:paraId="77BB3EB4">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3</w:t>
            </w:r>
          </w:p>
        </w:tc>
        <w:tc>
          <w:tcPr>
            <w:tcW w:w="2265" w:type="dxa"/>
            <w:shd w:val="clear" w:color="auto" w:fill="FFFFFF"/>
            <w:noWrap w:val="0"/>
            <w:vAlign w:val="center"/>
          </w:tcPr>
          <w:p w14:paraId="73551689">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项目申请、设立过程是否符合相关要求，用以反映和考核项目立项的规范情况。</w:t>
            </w:r>
          </w:p>
        </w:tc>
        <w:tc>
          <w:tcPr>
            <w:tcW w:w="5715" w:type="dxa"/>
            <w:shd w:val="clear" w:color="auto" w:fill="FFFFFF"/>
            <w:noWrap w:val="0"/>
            <w:vAlign w:val="center"/>
          </w:tcPr>
          <w:p w14:paraId="6B1C8907">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评价要点：</w:t>
            </w:r>
          </w:p>
          <w:p w14:paraId="7B454367">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①项目是否按照规定的程序申请设立；</w:t>
            </w:r>
          </w:p>
          <w:p w14:paraId="00E1247E">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②审批文件、材料是否符合相关要求；</w:t>
            </w:r>
          </w:p>
          <w:p w14:paraId="0C9EABF6">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③事前是否已经过必要的可行性研究、专家论证、风险评估、绩效评估、集体决策。</w:t>
            </w:r>
          </w:p>
        </w:tc>
        <w:tc>
          <w:tcPr>
            <w:tcW w:w="2013" w:type="dxa"/>
            <w:shd w:val="clear" w:color="auto" w:fill="FFFFFF"/>
            <w:noWrap w:val="0"/>
            <w:vAlign w:val="center"/>
          </w:tcPr>
          <w:p w14:paraId="2D555F4E">
            <w:pPr>
              <w:widowControl/>
              <w:spacing w:line="0" w:lineRule="atLeast"/>
              <w:jc w:val="center"/>
              <w:rPr>
                <w:rFonts w:hint="eastAsia" w:ascii="Calibri" w:hAnsi="Calibri" w:eastAsia="宋体" w:cs="Times New Roman"/>
                <w:color w:val="000000"/>
                <w:kern w:val="0"/>
                <w:sz w:val="22"/>
                <w:szCs w:val="22"/>
              </w:rPr>
            </w:pPr>
            <w:r>
              <w:rPr>
                <w:rFonts w:ascii="Calibri" w:hAnsi="Calibri" w:eastAsia="宋体" w:cs="Times New Roman"/>
                <w:color w:val="000000"/>
                <w:kern w:val="0"/>
                <w:sz w:val="22"/>
                <w:szCs w:val="22"/>
              </w:rPr>
              <w:t>项目申请符合相关要求</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2分</w:t>
            </w:r>
            <w:r>
              <w:rPr>
                <w:rFonts w:ascii="Calibri" w:hAnsi="Calibri" w:eastAsia="宋体" w:cs="Times New Roman"/>
                <w:color w:val="000000"/>
                <w:kern w:val="0"/>
                <w:sz w:val="22"/>
                <w:szCs w:val="22"/>
              </w:rPr>
              <w:t>、设立过程</w:t>
            </w:r>
            <w:r>
              <w:rPr>
                <w:rFonts w:hint="eastAsia" w:ascii="Calibri" w:hAnsi="Calibri" w:eastAsia="宋体" w:cs="Times New Roman"/>
                <w:color w:val="000000"/>
                <w:kern w:val="0"/>
                <w:sz w:val="22"/>
                <w:szCs w:val="22"/>
                <w:lang w:eastAsia="zh-CN"/>
              </w:rPr>
              <w:t>符合要求得</w:t>
            </w:r>
            <w:r>
              <w:rPr>
                <w:rFonts w:hint="eastAsia" w:ascii="Calibri" w:hAnsi="Calibri" w:eastAsia="宋体" w:cs="Times New Roman"/>
                <w:color w:val="000000"/>
                <w:kern w:val="0"/>
                <w:sz w:val="22"/>
                <w:szCs w:val="22"/>
                <w:lang w:val="en-US" w:eastAsia="zh-CN"/>
              </w:rPr>
              <w:t>1分，不符合不得分</w:t>
            </w:r>
          </w:p>
        </w:tc>
        <w:tc>
          <w:tcPr>
            <w:tcW w:w="566" w:type="dxa"/>
            <w:shd w:val="clear" w:color="auto" w:fill="FFFFFF"/>
            <w:noWrap w:val="0"/>
            <w:vAlign w:val="center"/>
          </w:tcPr>
          <w:p w14:paraId="7E798027">
            <w:pPr>
              <w:widowControl/>
              <w:spacing w:line="0" w:lineRule="atLeast"/>
              <w:jc w:val="center"/>
              <w:rPr>
                <w:rFonts w:hint="eastAsia"/>
                <w:color w:val="000000"/>
                <w:kern w:val="0"/>
                <w:sz w:val="22"/>
                <w:szCs w:val="22"/>
              </w:rPr>
            </w:pPr>
            <w:r>
              <w:rPr>
                <w:rFonts w:hint="eastAsia"/>
                <w:color w:val="000000"/>
                <w:kern w:val="0"/>
                <w:sz w:val="22"/>
                <w:szCs w:val="22"/>
              </w:rPr>
              <w:t>3</w:t>
            </w:r>
          </w:p>
        </w:tc>
      </w:tr>
      <w:tr w14:paraId="3CDD2D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90" w:type="dxa"/>
            <w:vMerge w:val="continue"/>
            <w:shd w:val="clear" w:color="auto" w:fill="FFFFFF"/>
            <w:noWrap w:val="0"/>
            <w:vAlign w:val="center"/>
          </w:tcPr>
          <w:p w14:paraId="0FFAA0C0">
            <w:pPr>
              <w:widowControl/>
              <w:spacing w:line="0" w:lineRule="atLeast"/>
              <w:jc w:val="center"/>
              <w:rPr>
                <w:rFonts w:ascii="Calibri" w:hAnsi="Calibri" w:eastAsia="宋体" w:cs="Times New Roman"/>
                <w:color w:val="000000"/>
                <w:kern w:val="0"/>
                <w:sz w:val="22"/>
                <w:szCs w:val="22"/>
              </w:rPr>
            </w:pPr>
          </w:p>
        </w:tc>
        <w:tc>
          <w:tcPr>
            <w:tcW w:w="705" w:type="dxa"/>
            <w:shd w:val="clear" w:color="auto" w:fill="FFFFFF"/>
            <w:noWrap w:val="0"/>
            <w:vAlign w:val="center"/>
          </w:tcPr>
          <w:p w14:paraId="6D000D16">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绩效目标　</w:t>
            </w:r>
          </w:p>
        </w:tc>
        <w:tc>
          <w:tcPr>
            <w:tcW w:w="1140" w:type="dxa"/>
            <w:shd w:val="clear" w:color="auto" w:fill="FFFFFF"/>
            <w:noWrap w:val="0"/>
            <w:vAlign w:val="center"/>
          </w:tcPr>
          <w:p w14:paraId="27E3F1E2">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绩效目标</w:t>
            </w:r>
          </w:p>
          <w:p w14:paraId="1AC48DE1">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合理性</w:t>
            </w:r>
          </w:p>
        </w:tc>
        <w:tc>
          <w:tcPr>
            <w:tcW w:w="600" w:type="dxa"/>
            <w:shd w:val="clear" w:color="auto" w:fill="FFFFFF"/>
            <w:noWrap w:val="0"/>
            <w:vAlign w:val="center"/>
          </w:tcPr>
          <w:p w14:paraId="0C3B8E8D">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4</w:t>
            </w:r>
          </w:p>
        </w:tc>
        <w:tc>
          <w:tcPr>
            <w:tcW w:w="2265" w:type="dxa"/>
            <w:shd w:val="clear" w:color="auto" w:fill="FFFFFF"/>
            <w:noWrap w:val="0"/>
            <w:vAlign w:val="center"/>
          </w:tcPr>
          <w:p w14:paraId="7DC20F5C">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项目所设定的绩效目标是否依据充分，是否符合客观实际，用以反映和考核项目绩效目标与项目实施的相符情况。</w:t>
            </w:r>
          </w:p>
        </w:tc>
        <w:tc>
          <w:tcPr>
            <w:tcW w:w="5715" w:type="dxa"/>
            <w:shd w:val="clear" w:color="auto" w:fill="FFFFFF"/>
            <w:noWrap w:val="0"/>
            <w:vAlign w:val="center"/>
          </w:tcPr>
          <w:p w14:paraId="2D57774A">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评价要点：</w:t>
            </w:r>
          </w:p>
          <w:p w14:paraId="5BFBB13E">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（如未设定预算绩效目标，也可考核其他工作任务目标）</w:t>
            </w:r>
          </w:p>
          <w:p w14:paraId="1189DA8C">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①项目是否有绩效目标；</w:t>
            </w:r>
          </w:p>
          <w:p w14:paraId="1F443C0F">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②项目绩效目标与实际工作内容是否具有相关性；</w:t>
            </w:r>
          </w:p>
          <w:p w14:paraId="7D09E38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③项目预期产出效益和效果是否符合正常的业绩水平；</w:t>
            </w:r>
          </w:p>
          <w:p w14:paraId="0E91634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④是否与预算确定的项目投资额或资金量相匹配。</w:t>
            </w:r>
          </w:p>
        </w:tc>
        <w:tc>
          <w:tcPr>
            <w:tcW w:w="2013" w:type="dxa"/>
            <w:shd w:val="clear" w:color="auto" w:fill="FFFFFF"/>
            <w:noWrap w:val="0"/>
            <w:vAlign w:val="center"/>
          </w:tcPr>
          <w:p w14:paraId="63373EFD">
            <w:pPr>
              <w:widowControl/>
              <w:spacing w:line="0" w:lineRule="atLeast"/>
              <w:jc w:val="center"/>
              <w:rPr>
                <w:rFonts w:hint="eastAsia" w:ascii="Calibri" w:hAnsi="Calibri" w:eastAsia="宋体" w:cs="Times New Roman"/>
                <w:color w:val="000000"/>
                <w:kern w:val="0"/>
                <w:sz w:val="22"/>
                <w:szCs w:val="22"/>
                <w:lang w:val="en-US" w:eastAsia="zh-CN"/>
              </w:rPr>
            </w:pPr>
            <w:r>
              <w:rPr>
                <w:rFonts w:ascii="Calibri" w:hAnsi="Calibri" w:eastAsia="宋体" w:cs="Times New Roman"/>
                <w:color w:val="000000"/>
                <w:kern w:val="0"/>
                <w:sz w:val="22"/>
                <w:szCs w:val="22"/>
              </w:rPr>
              <w:t>项目有绩效目</w:t>
            </w:r>
            <w:r>
              <w:rPr>
                <w:rFonts w:hint="eastAsia" w:ascii="Calibri" w:hAnsi="Calibri" w:eastAsia="宋体" w:cs="Times New Roman"/>
                <w:color w:val="000000"/>
                <w:kern w:val="0"/>
                <w:sz w:val="22"/>
                <w:szCs w:val="22"/>
                <w:lang w:eastAsia="zh-CN"/>
              </w:rPr>
              <w:t>标得</w:t>
            </w:r>
            <w:r>
              <w:rPr>
                <w:rFonts w:hint="eastAsia" w:ascii="Calibri" w:hAnsi="Calibri" w:eastAsia="宋体" w:cs="Times New Roman"/>
                <w:color w:val="000000"/>
                <w:kern w:val="0"/>
                <w:sz w:val="22"/>
                <w:szCs w:val="22"/>
                <w:lang w:val="en-US" w:eastAsia="zh-CN"/>
              </w:rPr>
              <w:t>1分，</w:t>
            </w:r>
            <w:r>
              <w:rPr>
                <w:rFonts w:ascii="Calibri" w:hAnsi="Calibri" w:eastAsia="宋体" w:cs="Times New Roman"/>
                <w:color w:val="000000"/>
                <w:kern w:val="0"/>
                <w:sz w:val="22"/>
                <w:szCs w:val="22"/>
              </w:rPr>
              <w:t>绩效目标依据充分</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1分</w:t>
            </w:r>
          </w:p>
          <w:p w14:paraId="1A814A5C">
            <w:pPr>
              <w:widowControl/>
              <w:spacing w:line="0" w:lineRule="atLeast"/>
              <w:jc w:val="center"/>
              <w:rPr>
                <w:rFonts w:hint="eastAsia" w:ascii="Calibri" w:hAnsi="Calibri" w:eastAsia="宋体" w:cs="Times New Roman"/>
                <w:color w:val="000000"/>
                <w:kern w:val="0"/>
                <w:sz w:val="22"/>
                <w:szCs w:val="22"/>
              </w:rPr>
            </w:pPr>
            <w:r>
              <w:rPr>
                <w:rFonts w:ascii="Calibri" w:hAnsi="Calibri" w:eastAsia="宋体" w:cs="Times New Roman"/>
                <w:color w:val="000000"/>
                <w:kern w:val="0"/>
                <w:sz w:val="22"/>
                <w:szCs w:val="22"/>
              </w:rPr>
              <w:t>符合客观实际</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1分，与资金量相匹配得1分，缺一项扣1分</w:t>
            </w:r>
          </w:p>
        </w:tc>
        <w:tc>
          <w:tcPr>
            <w:tcW w:w="566" w:type="dxa"/>
            <w:shd w:val="clear" w:color="auto" w:fill="FFFFFF"/>
            <w:noWrap w:val="0"/>
            <w:vAlign w:val="center"/>
          </w:tcPr>
          <w:p w14:paraId="04EB83D1">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14:paraId="1A89EC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90" w:type="dxa"/>
            <w:vMerge w:val="restart"/>
            <w:shd w:val="clear" w:color="auto" w:fill="FFFFFF"/>
            <w:noWrap w:val="0"/>
            <w:vAlign w:val="center"/>
          </w:tcPr>
          <w:p w14:paraId="740099E7">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决策　</w:t>
            </w:r>
          </w:p>
        </w:tc>
        <w:tc>
          <w:tcPr>
            <w:tcW w:w="705" w:type="dxa"/>
            <w:shd w:val="clear" w:color="auto" w:fill="FFFFFF"/>
            <w:noWrap w:val="0"/>
            <w:vAlign w:val="center"/>
          </w:tcPr>
          <w:p w14:paraId="6C81A2B4">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绩效目标</w:t>
            </w:r>
          </w:p>
        </w:tc>
        <w:tc>
          <w:tcPr>
            <w:tcW w:w="1140" w:type="dxa"/>
            <w:shd w:val="clear" w:color="auto" w:fill="FFFFFF"/>
            <w:noWrap w:val="0"/>
            <w:vAlign w:val="center"/>
          </w:tcPr>
          <w:p w14:paraId="73D3237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绩效指标</w:t>
            </w:r>
          </w:p>
          <w:p w14:paraId="0D8CE414">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明确性</w:t>
            </w:r>
          </w:p>
        </w:tc>
        <w:tc>
          <w:tcPr>
            <w:tcW w:w="600" w:type="dxa"/>
            <w:shd w:val="clear" w:color="auto" w:fill="FFFFFF"/>
            <w:noWrap w:val="0"/>
            <w:vAlign w:val="center"/>
          </w:tcPr>
          <w:p w14:paraId="36544619">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4</w:t>
            </w:r>
          </w:p>
        </w:tc>
        <w:tc>
          <w:tcPr>
            <w:tcW w:w="2265" w:type="dxa"/>
            <w:shd w:val="clear" w:color="auto" w:fill="FFFFFF"/>
            <w:noWrap w:val="0"/>
            <w:vAlign w:val="center"/>
          </w:tcPr>
          <w:p w14:paraId="31820A55">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依据绩效目标设定的绩效指标是否清晰、细化、可衡量等，用以反映和考核项目绩效目标的明细化情况。</w:t>
            </w:r>
          </w:p>
        </w:tc>
        <w:tc>
          <w:tcPr>
            <w:tcW w:w="5715" w:type="dxa"/>
            <w:shd w:val="clear" w:color="auto" w:fill="FFFFFF"/>
            <w:noWrap w:val="0"/>
            <w:vAlign w:val="center"/>
          </w:tcPr>
          <w:p w14:paraId="6D88A165">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评价要点：</w:t>
            </w:r>
          </w:p>
          <w:p w14:paraId="4342522D">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①是否将项目绩效目标细化分解为具体的绩效指标；</w:t>
            </w:r>
          </w:p>
          <w:p w14:paraId="6D06B967">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②是否通过清晰、可衡量的指标值予以体现；</w:t>
            </w:r>
          </w:p>
          <w:p w14:paraId="5640C142">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③是否与项目目标任务数或计划数相对应。</w:t>
            </w:r>
          </w:p>
          <w:p w14:paraId="5ABC7ACB">
            <w:pPr>
              <w:widowControl/>
              <w:spacing w:line="0" w:lineRule="atLeast"/>
              <w:jc w:val="center"/>
              <w:rPr>
                <w:rFonts w:hint="eastAsia" w:ascii="Calibri" w:hAnsi="Calibri" w:eastAsia="宋体" w:cs="Times New Roman"/>
                <w:color w:val="000000"/>
                <w:kern w:val="0"/>
                <w:sz w:val="22"/>
                <w:szCs w:val="22"/>
                <w:lang w:eastAsia="zh-CN"/>
              </w:rPr>
            </w:pPr>
          </w:p>
        </w:tc>
        <w:tc>
          <w:tcPr>
            <w:tcW w:w="2013" w:type="dxa"/>
            <w:shd w:val="clear" w:color="auto" w:fill="FFFFFF"/>
            <w:noWrap w:val="0"/>
            <w:vAlign w:val="center"/>
          </w:tcPr>
          <w:p w14:paraId="2DAAC12C">
            <w:pPr>
              <w:widowControl/>
              <w:spacing w:line="0" w:lineRule="atLeast"/>
              <w:jc w:val="center"/>
              <w:rPr>
                <w:rFonts w:hint="eastAsia" w:ascii="Calibri" w:hAnsi="Calibri" w:eastAsia="宋体" w:cs="Times New Roman"/>
                <w:color w:val="000000"/>
                <w:kern w:val="0"/>
                <w:sz w:val="22"/>
                <w:szCs w:val="22"/>
                <w:lang w:val="en-US" w:eastAsia="zh-CN"/>
              </w:rPr>
            </w:pPr>
            <w:r>
              <w:rPr>
                <w:rFonts w:ascii="Calibri" w:hAnsi="Calibri" w:eastAsia="宋体" w:cs="Times New Roman"/>
                <w:color w:val="000000"/>
                <w:kern w:val="0"/>
                <w:sz w:val="22"/>
                <w:szCs w:val="22"/>
              </w:rPr>
              <w:t>将项目绩效目标细化分解为具体的绩效指标</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2分，指标值清晰得2分缺一项扣2分</w:t>
            </w:r>
          </w:p>
          <w:p w14:paraId="45729C5B">
            <w:pPr>
              <w:widowControl/>
              <w:spacing w:line="0" w:lineRule="atLeast"/>
              <w:jc w:val="center"/>
              <w:rPr>
                <w:rFonts w:hint="eastAsia" w:ascii="Calibri" w:hAnsi="Calibri" w:eastAsia="宋体" w:cs="Times New Roman"/>
                <w:color w:val="000000"/>
                <w:kern w:val="0"/>
                <w:sz w:val="22"/>
                <w:szCs w:val="22"/>
                <w:lang w:val="en-US" w:eastAsia="zh-CN"/>
              </w:rPr>
            </w:pPr>
          </w:p>
        </w:tc>
        <w:tc>
          <w:tcPr>
            <w:tcW w:w="566" w:type="dxa"/>
            <w:shd w:val="clear" w:color="auto" w:fill="FFFFFF"/>
            <w:noWrap w:val="0"/>
            <w:vAlign w:val="center"/>
          </w:tcPr>
          <w:p w14:paraId="07D9C7A5">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3</w:t>
            </w:r>
          </w:p>
        </w:tc>
      </w:tr>
      <w:tr w14:paraId="56126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90" w:type="dxa"/>
            <w:vMerge w:val="continue"/>
            <w:shd w:val="clear" w:color="auto" w:fill="FFFFFF"/>
            <w:noWrap w:val="0"/>
            <w:vAlign w:val="center"/>
          </w:tcPr>
          <w:p w14:paraId="3194E536">
            <w:pPr>
              <w:widowControl/>
              <w:spacing w:line="0" w:lineRule="atLeast"/>
              <w:jc w:val="center"/>
              <w:rPr>
                <w:rFonts w:ascii="Calibri" w:hAnsi="Calibri" w:eastAsia="宋体" w:cs="Times New Roman"/>
                <w:color w:val="000000"/>
                <w:kern w:val="0"/>
                <w:sz w:val="22"/>
                <w:szCs w:val="22"/>
              </w:rPr>
            </w:pPr>
          </w:p>
        </w:tc>
        <w:tc>
          <w:tcPr>
            <w:tcW w:w="705" w:type="dxa"/>
            <w:vMerge w:val="restart"/>
            <w:shd w:val="clear" w:color="auto" w:fill="FFFFFF"/>
            <w:noWrap w:val="0"/>
            <w:vAlign w:val="center"/>
          </w:tcPr>
          <w:p w14:paraId="568440E9">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资金投入</w:t>
            </w:r>
          </w:p>
          <w:p w14:paraId="4DA1333A">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　</w:t>
            </w:r>
          </w:p>
        </w:tc>
        <w:tc>
          <w:tcPr>
            <w:tcW w:w="1140" w:type="dxa"/>
            <w:shd w:val="clear" w:color="auto" w:fill="FFFFFF"/>
            <w:noWrap w:val="0"/>
            <w:vAlign w:val="center"/>
          </w:tcPr>
          <w:p w14:paraId="060F3B26">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预算编制</w:t>
            </w:r>
          </w:p>
          <w:p w14:paraId="6B2DAE69">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科学性</w:t>
            </w:r>
          </w:p>
        </w:tc>
        <w:tc>
          <w:tcPr>
            <w:tcW w:w="600" w:type="dxa"/>
            <w:shd w:val="clear" w:color="auto" w:fill="FFFFFF"/>
            <w:noWrap w:val="0"/>
            <w:vAlign w:val="center"/>
          </w:tcPr>
          <w:p w14:paraId="4481F558">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3</w:t>
            </w:r>
          </w:p>
        </w:tc>
        <w:tc>
          <w:tcPr>
            <w:tcW w:w="2265" w:type="dxa"/>
            <w:shd w:val="clear" w:color="auto" w:fill="FFFFFF"/>
            <w:noWrap w:val="0"/>
            <w:vAlign w:val="center"/>
          </w:tcPr>
          <w:p w14:paraId="03EE1B42">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项目预算编制是否经过科学论证、有明确标准，资金额度与年度目标是否相适应，用以反映和考核项目预算编制的科学性、合理性情况。</w:t>
            </w:r>
          </w:p>
        </w:tc>
        <w:tc>
          <w:tcPr>
            <w:tcW w:w="5715" w:type="dxa"/>
            <w:shd w:val="clear" w:color="auto" w:fill="FFFFFF"/>
            <w:noWrap w:val="0"/>
            <w:vAlign w:val="center"/>
          </w:tcPr>
          <w:p w14:paraId="51A43F88">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评价要点：</w:t>
            </w:r>
          </w:p>
          <w:p w14:paraId="03B71779">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①预算编制是否经过科学论证；</w:t>
            </w:r>
          </w:p>
          <w:p w14:paraId="2D0C23F0">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②预算内容与项目内容是否匹配；</w:t>
            </w:r>
          </w:p>
          <w:p w14:paraId="5A48BEBD">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③预算额度测算依据是否充分，是否按照标准编制；</w:t>
            </w:r>
          </w:p>
          <w:p w14:paraId="3EC4C87A">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④预算确定的项目投资额或资金量是否与工作任务相匹配。</w:t>
            </w:r>
          </w:p>
        </w:tc>
        <w:tc>
          <w:tcPr>
            <w:tcW w:w="2013" w:type="dxa"/>
            <w:shd w:val="clear" w:color="auto" w:fill="FFFFFF"/>
            <w:noWrap w:val="0"/>
            <w:vAlign w:val="center"/>
          </w:tcPr>
          <w:p w14:paraId="05C97823">
            <w:pPr>
              <w:widowControl/>
              <w:spacing w:line="0" w:lineRule="atLeast"/>
              <w:jc w:val="center"/>
              <w:rPr>
                <w:rFonts w:hint="eastAsia" w:ascii="Calibri" w:hAnsi="Calibri" w:eastAsia="宋体" w:cs="Times New Roman"/>
                <w:color w:val="000000"/>
                <w:kern w:val="0"/>
                <w:sz w:val="22"/>
                <w:szCs w:val="22"/>
              </w:rPr>
            </w:pPr>
            <w:r>
              <w:rPr>
                <w:rFonts w:ascii="Calibri" w:hAnsi="Calibri" w:eastAsia="宋体" w:cs="Times New Roman"/>
                <w:color w:val="000000"/>
                <w:kern w:val="0"/>
                <w:sz w:val="22"/>
                <w:szCs w:val="22"/>
              </w:rPr>
              <w:t>预算编制经过科学论证</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1分，内容与项目匹配1分，按照标准编制得0.5分，资金与工作任务匹配0.5分，缺项对应项不得分</w:t>
            </w:r>
          </w:p>
        </w:tc>
        <w:tc>
          <w:tcPr>
            <w:tcW w:w="566" w:type="dxa"/>
            <w:shd w:val="clear" w:color="auto" w:fill="FFFFFF"/>
            <w:noWrap w:val="0"/>
            <w:vAlign w:val="center"/>
          </w:tcPr>
          <w:p w14:paraId="6A16A280">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2</w:t>
            </w:r>
          </w:p>
        </w:tc>
      </w:tr>
      <w:tr w14:paraId="64EEA2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90" w:type="dxa"/>
            <w:vMerge w:val="continue"/>
            <w:shd w:val="clear" w:color="auto" w:fill="FFFFFF"/>
            <w:noWrap w:val="0"/>
            <w:vAlign w:val="center"/>
          </w:tcPr>
          <w:p w14:paraId="59017AFB">
            <w:pPr>
              <w:widowControl/>
              <w:spacing w:line="0" w:lineRule="atLeast"/>
              <w:jc w:val="center"/>
              <w:rPr>
                <w:rFonts w:ascii="Calibri" w:hAnsi="Calibri" w:eastAsia="宋体" w:cs="Times New Roman"/>
                <w:color w:val="000000"/>
                <w:kern w:val="0"/>
                <w:sz w:val="22"/>
                <w:szCs w:val="22"/>
              </w:rPr>
            </w:pPr>
          </w:p>
        </w:tc>
        <w:tc>
          <w:tcPr>
            <w:tcW w:w="705" w:type="dxa"/>
            <w:vMerge w:val="continue"/>
            <w:shd w:val="clear" w:color="auto" w:fill="FFFFFF"/>
            <w:noWrap w:val="0"/>
            <w:vAlign w:val="center"/>
          </w:tcPr>
          <w:p w14:paraId="781BF8B1">
            <w:pPr>
              <w:widowControl/>
              <w:spacing w:line="0" w:lineRule="atLeast"/>
              <w:jc w:val="center"/>
              <w:rPr>
                <w:rFonts w:ascii="Calibri" w:hAnsi="Calibri" w:eastAsia="宋体" w:cs="Times New Roman"/>
                <w:color w:val="000000"/>
                <w:kern w:val="0"/>
                <w:sz w:val="22"/>
                <w:szCs w:val="22"/>
              </w:rPr>
            </w:pPr>
          </w:p>
        </w:tc>
        <w:tc>
          <w:tcPr>
            <w:tcW w:w="1140" w:type="dxa"/>
            <w:shd w:val="clear" w:color="auto" w:fill="FFFFFF"/>
            <w:noWrap w:val="0"/>
            <w:vAlign w:val="center"/>
          </w:tcPr>
          <w:p w14:paraId="7935374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资金分配</w:t>
            </w:r>
          </w:p>
          <w:p w14:paraId="2E5F301A">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合理性</w:t>
            </w:r>
          </w:p>
        </w:tc>
        <w:tc>
          <w:tcPr>
            <w:tcW w:w="600" w:type="dxa"/>
            <w:shd w:val="clear" w:color="auto" w:fill="FFFFFF"/>
            <w:noWrap w:val="0"/>
            <w:vAlign w:val="center"/>
          </w:tcPr>
          <w:p w14:paraId="1474483D">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3</w:t>
            </w:r>
          </w:p>
        </w:tc>
        <w:tc>
          <w:tcPr>
            <w:tcW w:w="2265" w:type="dxa"/>
            <w:shd w:val="clear" w:color="auto" w:fill="FFFFFF"/>
            <w:noWrap w:val="0"/>
            <w:vAlign w:val="center"/>
          </w:tcPr>
          <w:p w14:paraId="3B28224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项目预算资金分配是否有测算依据，与补助单位或地方实际是否相适应，用以反映和考核项目预算资金分配的科学性、合理性情况。</w:t>
            </w:r>
          </w:p>
        </w:tc>
        <w:tc>
          <w:tcPr>
            <w:tcW w:w="5715" w:type="dxa"/>
            <w:shd w:val="clear" w:color="auto" w:fill="FFFFFF"/>
            <w:noWrap w:val="0"/>
            <w:vAlign w:val="center"/>
          </w:tcPr>
          <w:p w14:paraId="600D55F5">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评价要点：</w:t>
            </w:r>
          </w:p>
          <w:p w14:paraId="77AEB930">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①预算资金分配依据是否充分；</w:t>
            </w:r>
          </w:p>
          <w:p w14:paraId="63624EB3">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②资金分配额度是否合理，与项目单位或地方实际是否相适应。</w:t>
            </w:r>
          </w:p>
        </w:tc>
        <w:tc>
          <w:tcPr>
            <w:tcW w:w="2013" w:type="dxa"/>
            <w:shd w:val="clear" w:color="auto" w:fill="FFFFFF"/>
            <w:noWrap w:val="0"/>
            <w:vAlign w:val="center"/>
          </w:tcPr>
          <w:p w14:paraId="19428FE4">
            <w:pPr>
              <w:widowControl/>
              <w:spacing w:line="0" w:lineRule="atLeast"/>
              <w:jc w:val="center"/>
              <w:rPr>
                <w:rFonts w:hint="eastAsia" w:ascii="Calibri" w:hAnsi="Calibri" w:eastAsia="宋体" w:cs="Times New Roman"/>
                <w:color w:val="000000"/>
                <w:kern w:val="0"/>
                <w:sz w:val="22"/>
                <w:szCs w:val="22"/>
              </w:rPr>
            </w:pPr>
            <w:r>
              <w:rPr>
                <w:rFonts w:ascii="Calibri" w:hAnsi="Calibri" w:eastAsia="宋体" w:cs="Times New Roman"/>
                <w:color w:val="000000"/>
                <w:kern w:val="0"/>
                <w:sz w:val="22"/>
                <w:szCs w:val="22"/>
              </w:rPr>
              <w:t>预算资金分配依据充分</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1分，</w:t>
            </w:r>
            <w:r>
              <w:rPr>
                <w:rFonts w:ascii="Calibri" w:hAnsi="Calibri" w:eastAsia="宋体" w:cs="Times New Roman"/>
                <w:color w:val="000000"/>
                <w:kern w:val="0"/>
                <w:sz w:val="22"/>
                <w:szCs w:val="22"/>
              </w:rPr>
              <w:t>资金分配额度合理</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2分，缺一项扣1分</w:t>
            </w:r>
          </w:p>
        </w:tc>
        <w:tc>
          <w:tcPr>
            <w:tcW w:w="566" w:type="dxa"/>
            <w:shd w:val="clear" w:color="auto" w:fill="FFFFFF"/>
            <w:noWrap w:val="0"/>
            <w:vAlign w:val="center"/>
          </w:tcPr>
          <w:p w14:paraId="43C994E2">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3</w:t>
            </w:r>
          </w:p>
        </w:tc>
      </w:tr>
      <w:tr w14:paraId="6F0E66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90" w:type="dxa"/>
            <w:vMerge w:val="restart"/>
            <w:shd w:val="clear" w:color="auto" w:fill="FFFFFF"/>
            <w:noWrap w:val="0"/>
            <w:vAlign w:val="center"/>
          </w:tcPr>
          <w:p w14:paraId="4B7119DD">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过程</w:t>
            </w:r>
          </w:p>
        </w:tc>
        <w:tc>
          <w:tcPr>
            <w:tcW w:w="705" w:type="dxa"/>
            <w:vMerge w:val="restart"/>
            <w:shd w:val="clear" w:color="auto" w:fill="FFFFFF"/>
            <w:noWrap w:val="0"/>
            <w:vAlign w:val="center"/>
          </w:tcPr>
          <w:p w14:paraId="0646BED9">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资金管理</w:t>
            </w:r>
          </w:p>
        </w:tc>
        <w:tc>
          <w:tcPr>
            <w:tcW w:w="1140" w:type="dxa"/>
            <w:shd w:val="clear" w:color="auto" w:fill="FFFFFF"/>
            <w:noWrap w:val="0"/>
            <w:vAlign w:val="center"/>
          </w:tcPr>
          <w:p w14:paraId="423C2A4A">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资金到位率</w:t>
            </w:r>
          </w:p>
        </w:tc>
        <w:tc>
          <w:tcPr>
            <w:tcW w:w="600" w:type="dxa"/>
            <w:shd w:val="clear" w:color="auto" w:fill="FFFFFF"/>
            <w:noWrap w:val="0"/>
            <w:vAlign w:val="center"/>
          </w:tcPr>
          <w:p w14:paraId="1CA311D1">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3</w:t>
            </w:r>
          </w:p>
        </w:tc>
        <w:tc>
          <w:tcPr>
            <w:tcW w:w="2265" w:type="dxa"/>
            <w:shd w:val="clear" w:color="auto" w:fill="FFFFFF"/>
            <w:noWrap w:val="0"/>
            <w:vAlign w:val="center"/>
          </w:tcPr>
          <w:p w14:paraId="316915A7">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实际到位资金与预算资金的比率，用以反映和考核资金落实情况对项目实施的总体保障程度。</w:t>
            </w:r>
          </w:p>
        </w:tc>
        <w:tc>
          <w:tcPr>
            <w:tcW w:w="5715" w:type="dxa"/>
            <w:shd w:val="clear" w:color="auto" w:fill="FFFFFF"/>
            <w:noWrap w:val="0"/>
            <w:vAlign w:val="center"/>
          </w:tcPr>
          <w:p w14:paraId="4947E359">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资金到位率=（实际到位资金/预算资金）×100%。</w:t>
            </w:r>
          </w:p>
          <w:p w14:paraId="60CB47A2">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实际到位资金：一定时期（本年度或项目期）内落实到具体项目的资金。</w:t>
            </w:r>
          </w:p>
          <w:p w14:paraId="3F54BBFD">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预算资金：一定时期（本年度或项目期）内预算安排到具体项目的资金。</w:t>
            </w:r>
          </w:p>
        </w:tc>
        <w:tc>
          <w:tcPr>
            <w:tcW w:w="2013" w:type="dxa"/>
            <w:shd w:val="clear" w:color="auto" w:fill="FFFFFF"/>
            <w:noWrap w:val="0"/>
            <w:vAlign w:val="center"/>
          </w:tcPr>
          <w:p w14:paraId="1DF24C78">
            <w:pPr>
              <w:widowControl/>
              <w:spacing w:line="0" w:lineRule="atLeast"/>
              <w:jc w:val="center"/>
              <w:rPr>
                <w:rFonts w:hint="eastAsia" w:ascii="Calibri" w:hAnsi="Calibri" w:eastAsia="宋体" w:cs="Times New Roman"/>
                <w:color w:val="000000"/>
                <w:kern w:val="0"/>
                <w:sz w:val="22"/>
                <w:szCs w:val="22"/>
              </w:rPr>
            </w:pPr>
            <w:r>
              <w:rPr>
                <w:rFonts w:ascii="Calibri" w:hAnsi="Calibri" w:eastAsia="宋体" w:cs="Times New Roman"/>
                <w:color w:val="000000"/>
                <w:kern w:val="0"/>
                <w:sz w:val="22"/>
                <w:szCs w:val="22"/>
              </w:rPr>
              <w:t>资金到位率</w:t>
            </w:r>
            <w:r>
              <w:rPr>
                <w:rFonts w:hint="eastAsia" w:ascii="Calibri" w:hAnsi="Calibri" w:eastAsia="宋体" w:cs="Times New Roman"/>
                <w:color w:val="000000"/>
                <w:kern w:val="0"/>
                <w:sz w:val="22"/>
                <w:szCs w:val="22"/>
                <w:lang w:val="en-US" w:eastAsia="zh-CN"/>
              </w:rPr>
              <w:t>100%得3分，每每减少5%扣1分</w:t>
            </w:r>
          </w:p>
        </w:tc>
        <w:tc>
          <w:tcPr>
            <w:tcW w:w="566" w:type="dxa"/>
            <w:shd w:val="clear" w:color="auto" w:fill="FFFFFF"/>
            <w:noWrap w:val="0"/>
            <w:vAlign w:val="center"/>
          </w:tcPr>
          <w:p w14:paraId="306A9D06">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3</w:t>
            </w:r>
          </w:p>
        </w:tc>
      </w:tr>
      <w:tr w14:paraId="5CCC20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90" w:type="dxa"/>
            <w:vMerge w:val="continue"/>
            <w:shd w:val="clear" w:color="auto" w:fill="FFFFFF"/>
            <w:noWrap w:val="0"/>
            <w:vAlign w:val="center"/>
          </w:tcPr>
          <w:p w14:paraId="398ED974">
            <w:pPr>
              <w:widowControl/>
              <w:spacing w:line="0" w:lineRule="atLeast"/>
              <w:jc w:val="center"/>
              <w:rPr>
                <w:rFonts w:ascii="Calibri" w:hAnsi="Calibri" w:eastAsia="宋体" w:cs="Times New Roman"/>
                <w:color w:val="000000"/>
                <w:kern w:val="0"/>
                <w:sz w:val="22"/>
                <w:szCs w:val="22"/>
              </w:rPr>
            </w:pPr>
          </w:p>
        </w:tc>
        <w:tc>
          <w:tcPr>
            <w:tcW w:w="705" w:type="dxa"/>
            <w:vMerge w:val="continue"/>
            <w:shd w:val="clear" w:color="auto" w:fill="FFFFFF"/>
            <w:noWrap w:val="0"/>
            <w:vAlign w:val="center"/>
          </w:tcPr>
          <w:p w14:paraId="53F272BE">
            <w:pPr>
              <w:widowControl/>
              <w:spacing w:line="0" w:lineRule="atLeast"/>
              <w:jc w:val="center"/>
              <w:rPr>
                <w:rFonts w:ascii="Calibri" w:hAnsi="Calibri" w:eastAsia="宋体" w:cs="Times New Roman"/>
                <w:color w:val="000000"/>
                <w:kern w:val="0"/>
                <w:sz w:val="22"/>
                <w:szCs w:val="22"/>
              </w:rPr>
            </w:pPr>
          </w:p>
        </w:tc>
        <w:tc>
          <w:tcPr>
            <w:tcW w:w="1140" w:type="dxa"/>
            <w:shd w:val="clear" w:color="auto" w:fill="FFFFFF"/>
            <w:noWrap w:val="0"/>
            <w:vAlign w:val="center"/>
          </w:tcPr>
          <w:p w14:paraId="0718CAC9">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预算执行率</w:t>
            </w:r>
          </w:p>
        </w:tc>
        <w:tc>
          <w:tcPr>
            <w:tcW w:w="600" w:type="dxa"/>
            <w:shd w:val="clear" w:color="auto" w:fill="FFFFFF"/>
            <w:noWrap w:val="0"/>
            <w:vAlign w:val="center"/>
          </w:tcPr>
          <w:p w14:paraId="3275323F">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4</w:t>
            </w:r>
          </w:p>
        </w:tc>
        <w:tc>
          <w:tcPr>
            <w:tcW w:w="2265" w:type="dxa"/>
            <w:shd w:val="clear" w:color="auto" w:fill="FFFFFF"/>
            <w:noWrap w:val="0"/>
            <w:vAlign w:val="center"/>
          </w:tcPr>
          <w:p w14:paraId="633C55DF">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项目预算资金是否按照计划执行，用以反映或考核项目预算执行情况。</w:t>
            </w:r>
          </w:p>
        </w:tc>
        <w:tc>
          <w:tcPr>
            <w:tcW w:w="5715" w:type="dxa"/>
            <w:shd w:val="clear" w:color="auto" w:fill="FFFFFF"/>
            <w:noWrap w:val="0"/>
            <w:vAlign w:val="center"/>
          </w:tcPr>
          <w:p w14:paraId="4D84ED3A">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预算执行率=（实际支出资金/实际到位资金）×100%。</w:t>
            </w:r>
          </w:p>
          <w:p w14:paraId="3563E867">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实际支出资金：一定时期（本年度或项目期）内项目实际拨付的资金。</w:t>
            </w:r>
          </w:p>
        </w:tc>
        <w:tc>
          <w:tcPr>
            <w:tcW w:w="2013" w:type="dxa"/>
            <w:shd w:val="clear" w:color="auto" w:fill="FFFFFF"/>
            <w:noWrap w:val="0"/>
            <w:vAlign w:val="center"/>
          </w:tcPr>
          <w:p w14:paraId="35D34CF4">
            <w:pPr>
              <w:widowControl/>
              <w:spacing w:line="0" w:lineRule="atLeast"/>
              <w:jc w:val="center"/>
              <w:rPr>
                <w:rFonts w:hint="eastAsia" w:ascii="Calibri" w:hAnsi="Calibri" w:eastAsia="宋体" w:cs="Times New Roman"/>
                <w:color w:val="000000"/>
                <w:kern w:val="0"/>
                <w:sz w:val="22"/>
                <w:szCs w:val="22"/>
              </w:rPr>
            </w:pPr>
            <w:r>
              <w:rPr>
                <w:rFonts w:ascii="Calibri" w:hAnsi="Calibri" w:eastAsia="宋体" w:cs="Times New Roman"/>
                <w:color w:val="000000"/>
                <w:kern w:val="0"/>
                <w:sz w:val="22"/>
                <w:szCs w:val="22"/>
              </w:rPr>
              <w:t>预算执行率</w:t>
            </w:r>
            <w:r>
              <w:rPr>
                <w:rFonts w:hint="eastAsia" w:ascii="Calibri" w:hAnsi="Calibri" w:eastAsia="宋体" w:cs="Times New Roman"/>
                <w:color w:val="000000"/>
                <w:kern w:val="0"/>
                <w:sz w:val="22"/>
                <w:szCs w:val="22"/>
                <w:lang w:val="en-US" w:eastAsia="zh-CN"/>
              </w:rPr>
              <w:t>100%得4分每减少5%扣1分</w:t>
            </w:r>
          </w:p>
        </w:tc>
        <w:tc>
          <w:tcPr>
            <w:tcW w:w="566" w:type="dxa"/>
            <w:shd w:val="clear" w:color="auto" w:fill="FFFFFF"/>
            <w:noWrap w:val="0"/>
            <w:vAlign w:val="center"/>
          </w:tcPr>
          <w:p w14:paraId="3299E899">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3</w:t>
            </w:r>
          </w:p>
        </w:tc>
      </w:tr>
      <w:tr w14:paraId="6FA445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90" w:type="dxa"/>
            <w:vMerge w:val="restart"/>
            <w:shd w:val="clear" w:color="auto" w:fill="FFFFFF"/>
            <w:noWrap w:val="0"/>
            <w:vAlign w:val="center"/>
          </w:tcPr>
          <w:p w14:paraId="11C82927">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　</w:t>
            </w:r>
          </w:p>
          <w:p w14:paraId="4A129279">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过程　</w:t>
            </w:r>
          </w:p>
        </w:tc>
        <w:tc>
          <w:tcPr>
            <w:tcW w:w="705" w:type="dxa"/>
            <w:shd w:val="clear" w:color="auto" w:fill="FFFFFF"/>
            <w:noWrap w:val="0"/>
            <w:vAlign w:val="center"/>
          </w:tcPr>
          <w:p w14:paraId="56FF2655">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资金管理</w:t>
            </w:r>
          </w:p>
        </w:tc>
        <w:tc>
          <w:tcPr>
            <w:tcW w:w="1140" w:type="dxa"/>
            <w:shd w:val="clear" w:color="auto" w:fill="FFFFFF"/>
            <w:noWrap w:val="0"/>
            <w:vAlign w:val="center"/>
          </w:tcPr>
          <w:p w14:paraId="4AA0EE0F">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资金使用</w:t>
            </w:r>
          </w:p>
          <w:p w14:paraId="37A6FCFE">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合规性</w:t>
            </w:r>
          </w:p>
        </w:tc>
        <w:tc>
          <w:tcPr>
            <w:tcW w:w="600" w:type="dxa"/>
            <w:shd w:val="clear" w:color="auto" w:fill="FFFFFF"/>
            <w:noWrap w:val="0"/>
            <w:vAlign w:val="center"/>
          </w:tcPr>
          <w:p w14:paraId="3C78B645">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4</w:t>
            </w:r>
          </w:p>
        </w:tc>
        <w:tc>
          <w:tcPr>
            <w:tcW w:w="2265" w:type="dxa"/>
            <w:shd w:val="clear" w:color="auto" w:fill="FFFFFF"/>
            <w:noWrap w:val="0"/>
            <w:vAlign w:val="center"/>
          </w:tcPr>
          <w:p w14:paraId="1AC55811">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项目资金使用是否符合相关的财务管理制度规定，用以反映和考核项目资金的规范运行情况。</w:t>
            </w:r>
          </w:p>
        </w:tc>
        <w:tc>
          <w:tcPr>
            <w:tcW w:w="5715" w:type="dxa"/>
            <w:shd w:val="clear" w:color="auto" w:fill="FFFFFF"/>
            <w:noWrap w:val="0"/>
            <w:vAlign w:val="center"/>
          </w:tcPr>
          <w:p w14:paraId="375DC9F0">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评价要点：</w:t>
            </w:r>
          </w:p>
          <w:p w14:paraId="495DB337">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①是否符合国家财经法规和财务管理制度以及有关专项资金管理办法的规定；</w:t>
            </w:r>
          </w:p>
          <w:p w14:paraId="12182C23">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②资金的拨付是否有完整的审批程序和手续；</w:t>
            </w:r>
          </w:p>
          <w:p w14:paraId="75364188">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③是否符合项目预算批复或合同规定的用途；</w:t>
            </w:r>
          </w:p>
          <w:p w14:paraId="648B77B8">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④是否存在截留、挤占、挪用、虚列支出等情况。</w:t>
            </w:r>
          </w:p>
        </w:tc>
        <w:tc>
          <w:tcPr>
            <w:tcW w:w="2013" w:type="dxa"/>
            <w:shd w:val="clear" w:color="auto" w:fill="FFFFFF"/>
            <w:noWrap w:val="0"/>
            <w:vAlign w:val="center"/>
          </w:tcPr>
          <w:p w14:paraId="663DA1DA">
            <w:pPr>
              <w:widowControl/>
              <w:spacing w:line="0" w:lineRule="atLeast"/>
              <w:jc w:val="center"/>
              <w:rPr>
                <w:rFonts w:hint="eastAsia" w:ascii="Calibri" w:hAnsi="Calibri" w:eastAsia="宋体" w:cs="Times New Roman"/>
                <w:color w:val="000000"/>
                <w:kern w:val="0"/>
                <w:sz w:val="22"/>
                <w:szCs w:val="22"/>
              </w:rPr>
            </w:pPr>
            <w:r>
              <w:rPr>
                <w:rFonts w:ascii="Calibri" w:hAnsi="Calibri" w:eastAsia="宋体" w:cs="Times New Roman"/>
                <w:color w:val="000000"/>
                <w:kern w:val="0"/>
                <w:sz w:val="22"/>
                <w:szCs w:val="22"/>
              </w:rPr>
              <w:t>符合国家财经法规</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2分，</w:t>
            </w:r>
            <w:r>
              <w:rPr>
                <w:rFonts w:ascii="Calibri" w:hAnsi="Calibri" w:eastAsia="宋体" w:cs="Times New Roman"/>
                <w:color w:val="000000"/>
                <w:kern w:val="0"/>
                <w:sz w:val="22"/>
                <w:szCs w:val="22"/>
              </w:rPr>
              <w:t>资金的拨付是否有完整的审批程序和手续</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1分，</w:t>
            </w:r>
            <w:r>
              <w:rPr>
                <w:rFonts w:ascii="Calibri" w:hAnsi="Calibri" w:eastAsia="宋体" w:cs="Times New Roman"/>
                <w:color w:val="000000"/>
                <w:kern w:val="0"/>
                <w:sz w:val="22"/>
                <w:szCs w:val="22"/>
              </w:rPr>
              <w:t>符合项目预算批复规定的用途</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1分缺一项扣1分</w:t>
            </w:r>
          </w:p>
        </w:tc>
        <w:tc>
          <w:tcPr>
            <w:tcW w:w="566" w:type="dxa"/>
            <w:shd w:val="clear" w:color="auto" w:fill="FFFFFF"/>
            <w:noWrap w:val="0"/>
            <w:vAlign w:val="center"/>
          </w:tcPr>
          <w:p w14:paraId="5DA68D59">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4</w:t>
            </w:r>
          </w:p>
        </w:tc>
      </w:tr>
      <w:tr w14:paraId="70FFF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90" w:type="dxa"/>
            <w:vMerge w:val="continue"/>
            <w:shd w:val="clear" w:color="auto" w:fill="FFFFFF"/>
            <w:noWrap w:val="0"/>
            <w:vAlign w:val="center"/>
          </w:tcPr>
          <w:p w14:paraId="22899B4C">
            <w:pPr>
              <w:widowControl/>
              <w:spacing w:line="0" w:lineRule="atLeast"/>
              <w:jc w:val="center"/>
              <w:rPr>
                <w:rFonts w:ascii="Calibri" w:hAnsi="Calibri" w:eastAsia="宋体" w:cs="Times New Roman"/>
                <w:color w:val="000000"/>
                <w:kern w:val="0"/>
                <w:sz w:val="22"/>
                <w:szCs w:val="22"/>
              </w:rPr>
            </w:pPr>
          </w:p>
        </w:tc>
        <w:tc>
          <w:tcPr>
            <w:tcW w:w="705" w:type="dxa"/>
            <w:vMerge w:val="restart"/>
            <w:shd w:val="clear" w:color="auto" w:fill="FFFFFF"/>
            <w:noWrap w:val="0"/>
            <w:vAlign w:val="center"/>
          </w:tcPr>
          <w:p w14:paraId="4BEAAE31">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组织实施</w:t>
            </w:r>
          </w:p>
          <w:p w14:paraId="7AC3B15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　</w:t>
            </w:r>
          </w:p>
        </w:tc>
        <w:tc>
          <w:tcPr>
            <w:tcW w:w="1140" w:type="dxa"/>
            <w:shd w:val="clear" w:color="auto" w:fill="FFFFFF"/>
            <w:noWrap w:val="0"/>
            <w:vAlign w:val="center"/>
          </w:tcPr>
          <w:p w14:paraId="5B0D0451">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管理制度</w:t>
            </w:r>
          </w:p>
          <w:p w14:paraId="4897A726">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健全性</w:t>
            </w:r>
          </w:p>
        </w:tc>
        <w:tc>
          <w:tcPr>
            <w:tcW w:w="600" w:type="dxa"/>
            <w:shd w:val="clear" w:color="auto" w:fill="FFFFFF"/>
            <w:noWrap w:val="0"/>
            <w:vAlign w:val="center"/>
          </w:tcPr>
          <w:p w14:paraId="0658DFCF">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4</w:t>
            </w:r>
          </w:p>
        </w:tc>
        <w:tc>
          <w:tcPr>
            <w:tcW w:w="2265" w:type="dxa"/>
            <w:shd w:val="clear" w:color="auto" w:fill="FFFFFF"/>
            <w:noWrap w:val="0"/>
            <w:vAlign w:val="center"/>
          </w:tcPr>
          <w:p w14:paraId="0938D47E">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项目实施单位的财务和业务管理制度是否健全，用以反映和考核财务和业务管理制度对项目顺利实施的保障情况。</w:t>
            </w:r>
          </w:p>
        </w:tc>
        <w:tc>
          <w:tcPr>
            <w:tcW w:w="5715" w:type="dxa"/>
            <w:shd w:val="clear" w:color="auto" w:fill="FFFFFF"/>
            <w:noWrap w:val="0"/>
            <w:vAlign w:val="center"/>
          </w:tcPr>
          <w:p w14:paraId="36077A7B">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评价要点：</w:t>
            </w:r>
          </w:p>
          <w:p w14:paraId="10B92A74">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①是否已制定或具有相应的财务和业务管理制度；</w:t>
            </w:r>
          </w:p>
          <w:p w14:paraId="4E0872F3">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②财务和业务管理制度是否合法、合规、完整。</w:t>
            </w:r>
          </w:p>
        </w:tc>
        <w:tc>
          <w:tcPr>
            <w:tcW w:w="2013" w:type="dxa"/>
            <w:shd w:val="clear" w:color="auto" w:fill="FFFFFF"/>
            <w:noWrap w:val="0"/>
            <w:vAlign w:val="center"/>
          </w:tcPr>
          <w:p w14:paraId="3541C395">
            <w:pPr>
              <w:widowControl/>
              <w:spacing w:line="0" w:lineRule="atLeast"/>
              <w:jc w:val="center"/>
              <w:rPr>
                <w:rFonts w:hint="eastAsia" w:ascii="Calibri" w:hAnsi="Calibri" w:eastAsia="宋体" w:cs="Times New Roman"/>
                <w:color w:val="000000"/>
                <w:kern w:val="0"/>
                <w:sz w:val="22"/>
                <w:szCs w:val="22"/>
                <w:lang w:val="en-US" w:eastAsia="zh-CN"/>
              </w:rPr>
            </w:pPr>
            <w:r>
              <w:rPr>
                <w:rFonts w:ascii="Calibri" w:hAnsi="Calibri" w:eastAsia="宋体" w:cs="Times New Roman"/>
                <w:color w:val="000000"/>
                <w:kern w:val="0"/>
                <w:sz w:val="22"/>
                <w:szCs w:val="22"/>
              </w:rPr>
              <w:t>制定或具有相应的财务和业务管理制度</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2分</w:t>
            </w:r>
            <w:r>
              <w:rPr>
                <w:rFonts w:ascii="Calibri" w:hAnsi="Calibri" w:eastAsia="宋体" w:cs="Times New Roman"/>
                <w:color w:val="000000"/>
                <w:kern w:val="0"/>
                <w:sz w:val="22"/>
                <w:szCs w:val="22"/>
              </w:rPr>
              <w:t>；制度是否合法、合规、完整</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2分缺一项扣1分</w:t>
            </w:r>
          </w:p>
          <w:p w14:paraId="5CDE41E1">
            <w:pPr>
              <w:widowControl/>
              <w:spacing w:line="0" w:lineRule="atLeast"/>
              <w:jc w:val="center"/>
              <w:rPr>
                <w:rFonts w:hint="eastAsia" w:ascii="Calibri" w:hAnsi="Calibri" w:eastAsia="宋体" w:cs="Times New Roman"/>
                <w:color w:val="000000"/>
                <w:kern w:val="0"/>
                <w:sz w:val="22"/>
                <w:szCs w:val="22"/>
                <w:lang w:val="en-US" w:eastAsia="zh-CN"/>
              </w:rPr>
            </w:pPr>
          </w:p>
        </w:tc>
        <w:tc>
          <w:tcPr>
            <w:tcW w:w="566" w:type="dxa"/>
            <w:shd w:val="clear" w:color="auto" w:fill="FFFFFF"/>
            <w:noWrap w:val="0"/>
            <w:vAlign w:val="center"/>
          </w:tcPr>
          <w:p w14:paraId="297D081C">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4</w:t>
            </w:r>
          </w:p>
        </w:tc>
      </w:tr>
      <w:tr w14:paraId="59462F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90" w:type="dxa"/>
            <w:vMerge w:val="continue"/>
            <w:shd w:val="clear" w:color="auto" w:fill="FFFFFF"/>
            <w:noWrap w:val="0"/>
            <w:vAlign w:val="center"/>
          </w:tcPr>
          <w:p w14:paraId="2D5A9BF8">
            <w:pPr>
              <w:widowControl/>
              <w:spacing w:line="0" w:lineRule="atLeast"/>
              <w:jc w:val="center"/>
              <w:rPr>
                <w:rFonts w:ascii="Calibri" w:hAnsi="Calibri" w:eastAsia="宋体" w:cs="Times New Roman"/>
                <w:color w:val="000000"/>
                <w:kern w:val="0"/>
                <w:sz w:val="22"/>
                <w:szCs w:val="22"/>
              </w:rPr>
            </w:pPr>
          </w:p>
        </w:tc>
        <w:tc>
          <w:tcPr>
            <w:tcW w:w="705" w:type="dxa"/>
            <w:vMerge w:val="continue"/>
            <w:shd w:val="clear" w:color="auto" w:fill="FFFFFF"/>
            <w:noWrap w:val="0"/>
            <w:vAlign w:val="center"/>
          </w:tcPr>
          <w:p w14:paraId="44AC9F2D">
            <w:pPr>
              <w:widowControl/>
              <w:spacing w:line="0" w:lineRule="atLeast"/>
              <w:jc w:val="center"/>
              <w:rPr>
                <w:rFonts w:ascii="Calibri" w:hAnsi="Calibri" w:eastAsia="宋体" w:cs="Times New Roman"/>
                <w:color w:val="000000"/>
                <w:kern w:val="0"/>
                <w:sz w:val="22"/>
                <w:szCs w:val="22"/>
              </w:rPr>
            </w:pPr>
          </w:p>
        </w:tc>
        <w:tc>
          <w:tcPr>
            <w:tcW w:w="1140" w:type="dxa"/>
            <w:shd w:val="clear" w:color="auto" w:fill="FFFFFF"/>
            <w:noWrap w:val="0"/>
            <w:vAlign w:val="center"/>
          </w:tcPr>
          <w:p w14:paraId="4DB0EBAB">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制度执行</w:t>
            </w:r>
          </w:p>
          <w:p w14:paraId="012B0997">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有效性</w:t>
            </w:r>
          </w:p>
        </w:tc>
        <w:tc>
          <w:tcPr>
            <w:tcW w:w="600" w:type="dxa"/>
            <w:shd w:val="clear" w:color="auto" w:fill="FFFFFF"/>
            <w:noWrap w:val="0"/>
            <w:vAlign w:val="center"/>
          </w:tcPr>
          <w:p w14:paraId="7F35BE06">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4</w:t>
            </w:r>
          </w:p>
        </w:tc>
        <w:tc>
          <w:tcPr>
            <w:tcW w:w="2265" w:type="dxa"/>
            <w:shd w:val="clear" w:color="auto" w:fill="FFFFFF"/>
            <w:noWrap w:val="0"/>
            <w:vAlign w:val="center"/>
          </w:tcPr>
          <w:p w14:paraId="2C3AE955">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项目实施是否符合相关管理规定，用以反映和考核相关管理制度的有效执行情况。</w:t>
            </w:r>
          </w:p>
        </w:tc>
        <w:tc>
          <w:tcPr>
            <w:tcW w:w="5715" w:type="dxa"/>
            <w:shd w:val="clear" w:color="auto" w:fill="FFFFFF"/>
            <w:noWrap w:val="0"/>
            <w:vAlign w:val="center"/>
          </w:tcPr>
          <w:p w14:paraId="7300ACEF">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评价要点：</w:t>
            </w:r>
          </w:p>
          <w:p w14:paraId="29ED52A8">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①是否遵守相关法律法规和相关管理规定；</w:t>
            </w:r>
          </w:p>
          <w:p w14:paraId="315AF1B6">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②项目调整及支出调整手续是否完备；</w:t>
            </w:r>
          </w:p>
          <w:p w14:paraId="23463120">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③项目合同书、验收报告、技术鉴定等资料是否齐全并及时归档；</w:t>
            </w:r>
          </w:p>
          <w:p w14:paraId="1E9F2BB6">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④项目实施的人员条件、场地设备、信息支撑等是否落实到位。</w:t>
            </w:r>
          </w:p>
        </w:tc>
        <w:tc>
          <w:tcPr>
            <w:tcW w:w="2013" w:type="dxa"/>
            <w:shd w:val="clear" w:color="auto" w:fill="FFFFFF"/>
            <w:noWrap w:val="0"/>
            <w:vAlign w:val="center"/>
          </w:tcPr>
          <w:p w14:paraId="08709783">
            <w:pPr>
              <w:widowControl/>
              <w:spacing w:line="0" w:lineRule="atLeast"/>
              <w:jc w:val="center"/>
              <w:rPr>
                <w:rFonts w:hint="eastAsia" w:ascii="Calibri" w:hAnsi="Calibri" w:eastAsia="宋体" w:cs="Times New Roman"/>
                <w:color w:val="000000"/>
                <w:kern w:val="0"/>
                <w:sz w:val="22"/>
                <w:szCs w:val="22"/>
              </w:rPr>
            </w:pPr>
            <w:r>
              <w:rPr>
                <w:rFonts w:ascii="Calibri" w:hAnsi="Calibri" w:eastAsia="宋体" w:cs="Times New Roman"/>
                <w:color w:val="000000"/>
                <w:kern w:val="0"/>
                <w:sz w:val="22"/>
                <w:szCs w:val="22"/>
              </w:rPr>
              <w:t>遵守相关规定</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1分，</w:t>
            </w:r>
            <w:r>
              <w:rPr>
                <w:rFonts w:ascii="Calibri" w:hAnsi="Calibri" w:eastAsia="宋体" w:cs="Times New Roman"/>
                <w:color w:val="000000"/>
                <w:kern w:val="0"/>
                <w:sz w:val="22"/>
                <w:szCs w:val="22"/>
              </w:rPr>
              <w:t>项目调整手续完备</w:t>
            </w:r>
            <w:r>
              <w:rPr>
                <w:rFonts w:hint="eastAsia" w:ascii="Calibri" w:hAnsi="Calibri" w:eastAsia="宋体" w:cs="Times New Roman"/>
                <w:color w:val="000000"/>
                <w:kern w:val="0"/>
                <w:sz w:val="22"/>
                <w:szCs w:val="22"/>
                <w:lang w:eastAsia="zh-CN"/>
              </w:rPr>
              <w:t>得</w:t>
            </w:r>
            <w:r>
              <w:rPr>
                <w:rFonts w:hint="eastAsia" w:ascii="Calibri" w:hAnsi="Calibri" w:eastAsia="宋体" w:cs="Times New Roman"/>
                <w:color w:val="000000"/>
                <w:kern w:val="0"/>
                <w:sz w:val="22"/>
                <w:szCs w:val="22"/>
                <w:lang w:val="en-US" w:eastAsia="zh-CN"/>
              </w:rPr>
              <w:t>1分</w:t>
            </w:r>
            <w:r>
              <w:rPr>
                <w:rFonts w:ascii="Calibri" w:hAnsi="Calibri" w:eastAsia="宋体" w:cs="Times New Roman"/>
                <w:color w:val="000000"/>
                <w:kern w:val="0"/>
                <w:sz w:val="22"/>
                <w:szCs w:val="22"/>
              </w:rPr>
              <w:t>；</w:t>
            </w:r>
            <w:r>
              <w:rPr>
                <w:rFonts w:hint="eastAsia" w:ascii="Calibri" w:hAnsi="Calibri" w:eastAsia="宋体" w:cs="Times New Roman"/>
                <w:color w:val="000000"/>
                <w:kern w:val="0"/>
                <w:sz w:val="22"/>
                <w:szCs w:val="22"/>
                <w:lang w:eastAsia="zh-CN"/>
              </w:rPr>
              <w:t>资料及时归档得</w:t>
            </w:r>
            <w:r>
              <w:rPr>
                <w:rFonts w:hint="eastAsia" w:ascii="Calibri" w:hAnsi="Calibri" w:eastAsia="宋体" w:cs="Times New Roman"/>
                <w:color w:val="000000"/>
                <w:kern w:val="0"/>
                <w:sz w:val="22"/>
                <w:szCs w:val="22"/>
                <w:lang w:val="en-US" w:eastAsia="zh-CN"/>
              </w:rPr>
              <w:t>1分，项目实施落实到位得1分，缺一项扣1分</w:t>
            </w:r>
          </w:p>
        </w:tc>
        <w:tc>
          <w:tcPr>
            <w:tcW w:w="566" w:type="dxa"/>
            <w:shd w:val="clear" w:color="auto" w:fill="FFFFFF"/>
            <w:noWrap w:val="0"/>
            <w:vAlign w:val="center"/>
          </w:tcPr>
          <w:p w14:paraId="45EC7B37">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4</w:t>
            </w:r>
          </w:p>
        </w:tc>
      </w:tr>
      <w:tr w14:paraId="421BAA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90" w:type="dxa"/>
            <w:shd w:val="clear" w:color="auto" w:fill="FFFFFF"/>
            <w:noWrap w:val="0"/>
            <w:vAlign w:val="center"/>
          </w:tcPr>
          <w:p w14:paraId="5E46464A">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产出</w:t>
            </w:r>
          </w:p>
        </w:tc>
        <w:tc>
          <w:tcPr>
            <w:tcW w:w="705" w:type="dxa"/>
            <w:shd w:val="clear" w:color="auto" w:fill="FFFFFF"/>
            <w:noWrap w:val="0"/>
            <w:vAlign w:val="center"/>
          </w:tcPr>
          <w:p w14:paraId="5FBFC7D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产出数量</w:t>
            </w:r>
          </w:p>
        </w:tc>
        <w:tc>
          <w:tcPr>
            <w:tcW w:w="1140" w:type="dxa"/>
            <w:shd w:val="clear" w:color="auto" w:fill="FFFFFF"/>
            <w:noWrap w:val="0"/>
            <w:vAlign w:val="center"/>
          </w:tcPr>
          <w:p w14:paraId="5C726412">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实际完成率</w:t>
            </w:r>
          </w:p>
        </w:tc>
        <w:tc>
          <w:tcPr>
            <w:tcW w:w="600" w:type="dxa"/>
            <w:shd w:val="clear" w:color="auto" w:fill="FFFFFF"/>
            <w:noWrap w:val="0"/>
            <w:vAlign w:val="center"/>
          </w:tcPr>
          <w:p w14:paraId="6D303ACC">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8</w:t>
            </w:r>
          </w:p>
        </w:tc>
        <w:tc>
          <w:tcPr>
            <w:tcW w:w="2265" w:type="dxa"/>
            <w:shd w:val="clear" w:color="auto" w:fill="FFFFFF"/>
            <w:noWrap w:val="0"/>
            <w:vAlign w:val="center"/>
          </w:tcPr>
          <w:p w14:paraId="6CF19ECD">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项目实施的实际产出数与计划产出数的比率，用以反映和考核项目产出数量目标的实现程度。</w:t>
            </w:r>
          </w:p>
        </w:tc>
        <w:tc>
          <w:tcPr>
            <w:tcW w:w="5715" w:type="dxa"/>
            <w:shd w:val="clear" w:color="auto" w:fill="FFFFFF"/>
            <w:noWrap w:val="0"/>
            <w:vAlign w:val="center"/>
          </w:tcPr>
          <w:p w14:paraId="592F0546">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实际完成率=（实际产出数/计划产出数）×100%。</w:t>
            </w:r>
          </w:p>
          <w:p w14:paraId="65B4A42C">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实际产出数：一定时期（本年度或项目期）内项目实际产出的产品或提供的服务数量。</w:t>
            </w:r>
          </w:p>
          <w:p w14:paraId="06D29FE4">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计划产出数：项目绩效目标确定的在一定时期（本年度或项目期）内计划产出的产品或提供的服务数量。</w:t>
            </w:r>
          </w:p>
        </w:tc>
        <w:tc>
          <w:tcPr>
            <w:tcW w:w="2013" w:type="dxa"/>
            <w:shd w:val="clear" w:color="auto" w:fill="FFFFFF"/>
            <w:noWrap w:val="0"/>
            <w:vAlign w:val="center"/>
          </w:tcPr>
          <w:p w14:paraId="10BC0D61">
            <w:pPr>
              <w:widowControl/>
              <w:spacing w:line="0" w:lineRule="atLeast"/>
              <w:jc w:val="center"/>
              <w:rPr>
                <w:rFonts w:hint="eastAsia" w:ascii="Calibri" w:hAnsi="Calibri" w:eastAsia="宋体" w:cs="Times New Roman"/>
                <w:color w:val="000000"/>
                <w:kern w:val="0"/>
                <w:sz w:val="22"/>
                <w:szCs w:val="22"/>
              </w:rPr>
            </w:pPr>
            <w:r>
              <w:rPr>
                <w:rFonts w:ascii="Calibri" w:hAnsi="Calibri" w:eastAsia="宋体" w:cs="Times New Roman"/>
                <w:color w:val="000000"/>
                <w:kern w:val="0"/>
                <w:sz w:val="22"/>
                <w:szCs w:val="22"/>
              </w:rPr>
              <w:t>实际完成率</w:t>
            </w:r>
            <w:r>
              <w:rPr>
                <w:rFonts w:hint="eastAsia" w:ascii="Calibri" w:hAnsi="Calibri" w:eastAsia="宋体" w:cs="Times New Roman"/>
                <w:color w:val="000000"/>
                <w:kern w:val="0"/>
                <w:sz w:val="22"/>
                <w:szCs w:val="22"/>
                <w:lang w:val="en-US" w:eastAsia="zh-CN"/>
              </w:rPr>
              <w:t>100%得8分，每减少5%扣1分，扣完为止</w:t>
            </w:r>
          </w:p>
        </w:tc>
        <w:tc>
          <w:tcPr>
            <w:tcW w:w="566" w:type="dxa"/>
            <w:shd w:val="clear" w:color="auto" w:fill="FFFFFF"/>
            <w:noWrap w:val="0"/>
            <w:vAlign w:val="center"/>
          </w:tcPr>
          <w:p w14:paraId="4F962A4F">
            <w:pPr>
              <w:widowControl/>
              <w:spacing w:line="0" w:lineRule="atLeast"/>
              <w:jc w:val="center"/>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8</w:t>
            </w:r>
          </w:p>
        </w:tc>
      </w:tr>
      <w:tr w14:paraId="2ECC67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90" w:type="dxa"/>
            <w:vMerge w:val="restart"/>
            <w:shd w:val="clear" w:color="auto" w:fill="FFFFFF"/>
            <w:noWrap w:val="0"/>
            <w:vAlign w:val="center"/>
          </w:tcPr>
          <w:p w14:paraId="70832AB8">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产出</w:t>
            </w:r>
          </w:p>
        </w:tc>
        <w:tc>
          <w:tcPr>
            <w:tcW w:w="705" w:type="dxa"/>
            <w:shd w:val="clear" w:color="auto" w:fill="FFFFFF"/>
            <w:noWrap w:val="0"/>
            <w:vAlign w:val="center"/>
          </w:tcPr>
          <w:p w14:paraId="03B5C652">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产出质量</w:t>
            </w:r>
          </w:p>
        </w:tc>
        <w:tc>
          <w:tcPr>
            <w:tcW w:w="1140" w:type="dxa"/>
            <w:shd w:val="clear" w:color="auto" w:fill="FFFFFF"/>
            <w:noWrap w:val="0"/>
            <w:vAlign w:val="center"/>
          </w:tcPr>
          <w:p w14:paraId="178DB60C">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质量达标率</w:t>
            </w:r>
          </w:p>
        </w:tc>
        <w:tc>
          <w:tcPr>
            <w:tcW w:w="600" w:type="dxa"/>
            <w:shd w:val="clear" w:color="auto" w:fill="FFFFFF"/>
            <w:noWrap w:val="0"/>
            <w:vAlign w:val="center"/>
          </w:tcPr>
          <w:p w14:paraId="2C6686A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8</w:t>
            </w:r>
          </w:p>
        </w:tc>
        <w:tc>
          <w:tcPr>
            <w:tcW w:w="2265" w:type="dxa"/>
            <w:shd w:val="clear" w:color="auto" w:fill="FFFFFF"/>
            <w:noWrap w:val="0"/>
            <w:vAlign w:val="center"/>
          </w:tcPr>
          <w:p w14:paraId="570A07C5">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项目完成的质量达标产出数与实际产出数的比率，用以反映和考核项目产出质量目标的实现程度。</w:t>
            </w:r>
          </w:p>
        </w:tc>
        <w:tc>
          <w:tcPr>
            <w:tcW w:w="5715" w:type="dxa"/>
            <w:shd w:val="clear" w:color="auto" w:fill="FFFFFF"/>
            <w:noWrap w:val="0"/>
            <w:vAlign w:val="center"/>
          </w:tcPr>
          <w:p w14:paraId="187E30AD">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质量达标率=（质量达标产出数/实际产出数）×100%。</w:t>
            </w:r>
          </w:p>
          <w:p w14:paraId="0F69AF0A">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013" w:type="dxa"/>
            <w:shd w:val="clear" w:color="auto" w:fill="FFFFFF"/>
            <w:noWrap w:val="0"/>
            <w:vAlign w:val="center"/>
          </w:tcPr>
          <w:p w14:paraId="30E039B3">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完成100%计</w:t>
            </w:r>
            <w:r>
              <w:rPr>
                <w:rFonts w:hint="eastAsia" w:ascii="Calibri" w:hAnsi="Calibri" w:eastAsia="宋体" w:cs="Times New Roman"/>
                <w:color w:val="000000"/>
                <w:kern w:val="0"/>
                <w:sz w:val="22"/>
                <w:szCs w:val="22"/>
                <w:lang w:val="en-US" w:eastAsia="zh-CN"/>
              </w:rPr>
              <w:t>8</w:t>
            </w:r>
            <w:r>
              <w:rPr>
                <w:rFonts w:hint="eastAsia" w:ascii="Calibri" w:hAnsi="Calibri" w:eastAsia="宋体" w:cs="Times New Roman"/>
                <w:color w:val="000000"/>
                <w:kern w:val="0"/>
                <w:sz w:val="22"/>
                <w:szCs w:val="22"/>
              </w:rPr>
              <w:t>分，每下降1%扣0.5分，扣完为止</w:t>
            </w:r>
          </w:p>
        </w:tc>
        <w:tc>
          <w:tcPr>
            <w:tcW w:w="566" w:type="dxa"/>
            <w:shd w:val="clear" w:color="auto" w:fill="FFFFFF"/>
            <w:noWrap w:val="0"/>
            <w:vAlign w:val="center"/>
          </w:tcPr>
          <w:p w14:paraId="4F02D7B8">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7</w:t>
            </w:r>
          </w:p>
        </w:tc>
      </w:tr>
      <w:tr w14:paraId="42D58C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90" w:type="dxa"/>
            <w:vMerge w:val="continue"/>
            <w:shd w:val="clear" w:color="auto" w:fill="FFFFFF"/>
            <w:noWrap w:val="0"/>
            <w:vAlign w:val="center"/>
          </w:tcPr>
          <w:p w14:paraId="74E59572">
            <w:pPr>
              <w:widowControl/>
              <w:spacing w:line="0" w:lineRule="atLeast"/>
              <w:jc w:val="center"/>
              <w:rPr>
                <w:rFonts w:ascii="Calibri" w:hAnsi="Calibri" w:eastAsia="宋体" w:cs="Times New Roman"/>
                <w:color w:val="000000"/>
                <w:kern w:val="0"/>
                <w:sz w:val="22"/>
                <w:szCs w:val="22"/>
              </w:rPr>
            </w:pPr>
          </w:p>
        </w:tc>
        <w:tc>
          <w:tcPr>
            <w:tcW w:w="705" w:type="dxa"/>
            <w:shd w:val="clear" w:color="auto" w:fill="FFFFFF"/>
            <w:noWrap w:val="0"/>
            <w:vAlign w:val="center"/>
          </w:tcPr>
          <w:p w14:paraId="19CCDED6">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产出时效</w:t>
            </w:r>
          </w:p>
        </w:tc>
        <w:tc>
          <w:tcPr>
            <w:tcW w:w="1140" w:type="dxa"/>
            <w:shd w:val="clear" w:color="auto" w:fill="FFFFFF"/>
            <w:noWrap w:val="0"/>
            <w:vAlign w:val="center"/>
          </w:tcPr>
          <w:p w14:paraId="569F56F5">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完成及时性</w:t>
            </w:r>
          </w:p>
        </w:tc>
        <w:tc>
          <w:tcPr>
            <w:tcW w:w="600" w:type="dxa"/>
            <w:shd w:val="clear" w:color="auto" w:fill="FFFFFF"/>
            <w:noWrap w:val="0"/>
            <w:vAlign w:val="center"/>
          </w:tcPr>
          <w:p w14:paraId="7A4D662E">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8</w:t>
            </w:r>
          </w:p>
        </w:tc>
        <w:tc>
          <w:tcPr>
            <w:tcW w:w="2265" w:type="dxa"/>
            <w:shd w:val="clear" w:color="auto" w:fill="FFFFFF"/>
            <w:noWrap w:val="0"/>
            <w:vAlign w:val="center"/>
          </w:tcPr>
          <w:p w14:paraId="5E10B30C">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项目实际完成时间与计划完成时间的比较，用以反映和考核项目产出时效目标的实现程度。</w:t>
            </w:r>
          </w:p>
        </w:tc>
        <w:tc>
          <w:tcPr>
            <w:tcW w:w="5715" w:type="dxa"/>
            <w:shd w:val="clear" w:color="auto" w:fill="FFFFFF"/>
            <w:noWrap w:val="0"/>
            <w:vAlign w:val="center"/>
          </w:tcPr>
          <w:p w14:paraId="0A1C45C1">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实际完成时间：项目实施单位完成该项目实际所耗用的时间。</w:t>
            </w:r>
          </w:p>
          <w:p w14:paraId="24E60268">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计划完成时间：按照项目实施计划或相关规定完成该项目所需的时间。</w:t>
            </w:r>
          </w:p>
        </w:tc>
        <w:tc>
          <w:tcPr>
            <w:tcW w:w="2013" w:type="dxa"/>
            <w:shd w:val="clear" w:color="auto" w:fill="FFFFFF"/>
            <w:noWrap w:val="0"/>
            <w:vAlign w:val="center"/>
          </w:tcPr>
          <w:p w14:paraId="284C9A7B">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按计划完成计</w:t>
            </w:r>
            <w:r>
              <w:rPr>
                <w:rFonts w:hint="eastAsia" w:ascii="Calibri" w:hAnsi="Calibri" w:eastAsia="宋体" w:cs="Times New Roman"/>
                <w:color w:val="000000"/>
                <w:kern w:val="0"/>
                <w:sz w:val="22"/>
                <w:szCs w:val="22"/>
                <w:lang w:val="en-US" w:eastAsia="zh-CN"/>
              </w:rPr>
              <w:t>8</w:t>
            </w:r>
            <w:r>
              <w:rPr>
                <w:rFonts w:hint="eastAsia" w:ascii="Calibri" w:hAnsi="Calibri" w:eastAsia="宋体" w:cs="Times New Roman"/>
                <w:color w:val="000000"/>
                <w:kern w:val="0"/>
                <w:sz w:val="22"/>
                <w:szCs w:val="22"/>
              </w:rPr>
              <w:t>分，否则酌情扣分</w:t>
            </w:r>
          </w:p>
        </w:tc>
        <w:tc>
          <w:tcPr>
            <w:tcW w:w="566" w:type="dxa"/>
            <w:shd w:val="clear" w:color="auto" w:fill="FFFFFF"/>
            <w:noWrap w:val="0"/>
            <w:vAlign w:val="center"/>
          </w:tcPr>
          <w:p w14:paraId="6AB1CE14">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7</w:t>
            </w:r>
          </w:p>
        </w:tc>
      </w:tr>
      <w:tr w14:paraId="57B698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90" w:type="dxa"/>
            <w:vMerge w:val="continue"/>
            <w:shd w:val="clear" w:color="auto" w:fill="FFFFFF"/>
            <w:noWrap w:val="0"/>
            <w:vAlign w:val="center"/>
          </w:tcPr>
          <w:p w14:paraId="16124559">
            <w:pPr>
              <w:widowControl/>
              <w:spacing w:line="0" w:lineRule="atLeast"/>
              <w:jc w:val="center"/>
              <w:rPr>
                <w:rFonts w:ascii="Calibri" w:hAnsi="Calibri" w:eastAsia="宋体" w:cs="Times New Roman"/>
                <w:color w:val="000000"/>
                <w:kern w:val="0"/>
                <w:sz w:val="22"/>
                <w:szCs w:val="22"/>
              </w:rPr>
            </w:pPr>
          </w:p>
        </w:tc>
        <w:tc>
          <w:tcPr>
            <w:tcW w:w="705" w:type="dxa"/>
            <w:shd w:val="clear" w:color="auto" w:fill="FFFFFF"/>
            <w:noWrap w:val="0"/>
            <w:vAlign w:val="center"/>
          </w:tcPr>
          <w:p w14:paraId="65975A1F">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产出成本</w:t>
            </w:r>
          </w:p>
        </w:tc>
        <w:tc>
          <w:tcPr>
            <w:tcW w:w="1140" w:type="dxa"/>
            <w:shd w:val="clear" w:color="auto" w:fill="FFFFFF"/>
            <w:noWrap w:val="0"/>
            <w:vAlign w:val="center"/>
          </w:tcPr>
          <w:p w14:paraId="774EA13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成本节约率</w:t>
            </w:r>
          </w:p>
        </w:tc>
        <w:tc>
          <w:tcPr>
            <w:tcW w:w="600" w:type="dxa"/>
            <w:shd w:val="clear" w:color="auto" w:fill="FFFFFF"/>
            <w:noWrap w:val="0"/>
            <w:vAlign w:val="center"/>
          </w:tcPr>
          <w:p w14:paraId="2794916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8</w:t>
            </w:r>
          </w:p>
        </w:tc>
        <w:tc>
          <w:tcPr>
            <w:tcW w:w="2265" w:type="dxa"/>
            <w:shd w:val="clear" w:color="auto" w:fill="FFFFFF"/>
            <w:noWrap w:val="0"/>
            <w:vAlign w:val="center"/>
          </w:tcPr>
          <w:p w14:paraId="2BC38A61">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完成项目计划工作目标的实际节约成本与计划成本的比率，用以反映和考核项目的成本节约程度。</w:t>
            </w:r>
          </w:p>
        </w:tc>
        <w:tc>
          <w:tcPr>
            <w:tcW w:w="5715" w:type="dxa"/>
            <w:shd w:val="clear" w:color="auto" w:fill="FFFFFF"/>
            <w:noWrap w:val="0"/>
            <w:vAlign w:val="center"/>
          </w:tcPr>
          <w:p w14:paraId="1E8035C6">
            <w:pPr>
              <w:widowControl/>
              <w:spacing w:line="0" w:lineRule="atLeast"/>
              <w:jc w:val="center"/>
              <w:rPr>
                <w:rFonts w:hint="eastAsia" w:ascii="Calibri" w:hAnsi="Calibri" w:eastAsia="宋体" w:cs="Times New Roman"/>
                <w:color w:val="000000"/>
                <w:kern w:val="0"/>
                <w:sz w:val="22"/>
                <w:szCs w:val="22"/>
                <w:lang w:eastAsia="zh-CN"/>
              </w:rPr>
            </w:pPr>
          </w:p>
          <w:p w14:paraId="036F798E">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成本节约率=[（计划成本-实际成本）/计划成本]×100%。</w:t>
            </w:r>
          </w:p>
          <w:p w14:paraId="6CD07BD7">
            <w:pPr>
              <w:widowControl/>
              <w:spacing w:line="0" w:lineRule="atLeast"/>
              <w:jc w:val="center"/>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实际成本：项目实施单位如期、保质、保量完成既定工作目标实际所耗费的支出。</w:t>
            </w:r>
          </w:p>
          <w:p w14:paraId="3EB77ABE">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计划成本：项目实施单位为完成工作目标计划安排的支出，一般以项目预算为参考。</w:t>
            </w:r>
          </w:p>
        </w:tc>
        <w:tc>
          <w:tcPr>
            <w:tcW w:w="2013" w:type="dxa"/>
            <w:shd w:val="clear" w:color="auto" w:fill="FFFFFF"/>
            <w:noWrap w:val="0"/>
            <w:vAlign w:val="center"/>
          </w:tcPr>
          <w:p w14:paraId="5108DB9B">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项目成本控制在总成本范围内，得</w:t>
            </w:r>
            <w:r>
              <w:rPr>
                <w:rFonts w:hint="eastAsia" w:ascii="Calibri" w:hAnsi="Calibri" w:eastAsia="宋体" w:cs="Times New Roman"/>
                <w:color w:val="000000"/>
                <w:kern w:val="0"/>
                <w:sz w:val="22"/>
                <w:szCs w:val="22"/>
                <w:lang w:val="en-US" w:eastAsia="zh-CN"/>
              </w:rPr>
              <w:t>8</w:t>
            </w:r>
            <w:r>
              <w:rPr>
                <w:rFonts w:hint="eastAsia" w:ascii="Calibri" w:hAnsi="Calibri" w:eastAsia="宋体" w:cs="Times New Roman"/>
                <w:color w:val="000000"/>
                <w:kern w:val="0"/>
                <w:sz w:val="22"/>
                <w:szCs w:val="22"/>
              </w:rPr>
              <w:t>分，每下降1%，扣0.5分，扣完为止。</w:t>
            </w:r>
          </w:p>
        </w:tc>
        <w:tc>
          <w:tcPr>
            <w:tcW w:w="566" w:type="dxa"/>
            <w:shd w:val="clear" w:color="auto" w:fill="FFFFFF"/>
            <w:noWrap w:val="0"/>
            <w:vAlign w:val="center"/>
          </w:tcPr>
          <w:p w14:paraId="53067A09">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7</w:t>
            </w:r>
          </w:p>
        </w:tc>
      </w:tr>
      <w:tr w14:paraId="46B9D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90" w:type="dxa"/>
            <w:vMerge w:val="restart"/>
            <w:shd w:val="clear" w:color="auto" w:fill="FFFFFF"/>
            <w:noWrap w:val="0"/>
            <w:vAlign w:val="center"/>
          </w:tcPr>
          <w:p w14:paraId="25FB3B05">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效益　</w:t>
            </w:r>
          </w:p>
        </w:tc>
        <w:tc>
          <w:tcPr>
            <w:tcW w:w="705" w:type="dxa"/>
            <w:vMerge w:val="restart"/>
            <w:shd w:val="clear" w:color="auto" w:fill="FFFFFF"/>
            <w:noWrap w:val="0"/>
            <w:vAlign w:val="center"/>
          </w:tcPr>
          <w:p w14:paraId="218D31C8">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项目效益　</w:t>
            </w:r>
          </w:p>
        </w:tc>
        <w:tc>
          <w:tcPr>
            <w:tcW w:w="1140" w:type="dxa"/>
            <w:shd w:val="clear" w:color="auto" w:fill="FFFFFF"/>
            <w:noWrap w:val="0"/>
            <w:vAlign w:val="center"/>
          </w:tcPr>
          <w:p w14:paraId="0DEF4A86">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实施效益</w:t>
            </w:r>
          </w:p>
        </w:tc>
        <w:tc>
          <w:tcPr>
            <w:tcW w:w="600" w:type="dxa"/>
            <w:shd w:val="clear" w:color="auto" w:fill="FFFFFF"/>
            <w:noWrap w:val="0"/>
            <w:vAlign w:val="center"/>
          </w:tcPr>
          <w:p w14:paraId="0BEBFA06">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20</w:t>
            </w:r>
          </w:p>
        </w:tc>
        <w:tc>
          <w:tcPr>
            <w:tcW w:w="2265" w:type="dxa"/>
            <w:shd w:val="clear" w:color="auto" w:fill="FFFFFF"/>
            <w:noWrap w:val="0"/>
            <w:vAlign w:val="center"/>
          </w:tcPr>
          <w:p w14:paraId="3A1A411C">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项目实施所产生的效益。</w:t>
            </w:r>
          </w:p>
        </w:tc>
        <w:tc>
          <w:tcPr>
            <w:tcW w:w="5715" w:type="dxa"/>
            <w:shd w:val="clear" w:color="auto" w:fill="FFFFFF"/>
            <w:noWrap w:val="0"/>
            <w:vAlign w:val="center"/>
          </w:tcPr>
          <w:p w14:paraId="102E10F4">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项目实施所产生的社会效益、经济效益、生态效益、可持续影响等。可根据项目实际情况有选择地设置和细化。</w:t>
            </w:r>
          </w:p>
        </w:tc>
        <w:tc>
          <w:tcPr>
            <w:tcW w:w="2013" w:type="dxa"/>
            <w:shd w:val="clear" w:color="auto" w:fill="FFFFFF"/>
            <w:noWrap w:val="0"/>
            <w:vAlign w:val="center"/>
          </w:tcPr>
          <w:p w14:paraId="0AE31E91">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效益评价优</w:t>
            </w:r>
            <w:r>
              <w:rPr>
                <w:rFonts w:hint="eastAsia" w:ascii="Calibri" w:hAnsi="Calibri" w:eastAsia="宋体" w:cs="Times New Roman"/>
                <w:color w:val="000000"/>
                <w:kern w:val="0"/>
                <w:sz w:val="22"/>
                <w:szCs w:val="22"/>
                <w:lang w:val="en-US" w:eastAsia="zh-CN"/>
              </w:rPr>
              <w:t>20</w:t>
            </w:r>
            <w:r>
              <w:rPr>
                <w:rFonts w:hint="eastAsia" w:ascii="Calibri" w:hAnsi="Calibri" w:eastAsia="宋体" w:cs="Times New Roman"/>
                <w:color w:val="000000"/>
                <w:kern w:val="0"/>
                <w:sz w:val="22"/>
                <w:szCs w:val="22"/>
              </w:rPr>
              <w:t>分、良好</w:t>
            </w:r>
            <w:r>
              <w:rPr>
                <w:rFonts w:hint="eastAsia" w:ascii="Calibri" w:hAnsi="Calibri" w:eastAsia="宋体" w:cs="Times New Roman"/>
                <w:color w:val="000000"/>
                <w:kern w:val="0"/>
                <w:sz w:val="22"/>
                <w:szCs w:val="22"/>
                <w:lang w:val="en-US" w:eastAsia="zh-CN"/>
              </w:rPr>
              <w:t>16</w:t>
            </w:r>
            <w:r>
              <w:rPr>
                <w:rFonts w:hint="eastAsia" w:ascii="Calibri" w:hAnsi="Calibri" w:eastAsia="宋体" w:cs="Times New Roman"/>
                <w:color w:val="000000"/>
                <w:kern w:val="0"/>
                <w:sz w:val="22"/>
                <w:szCs w:val="22"/>
              </w:rPr>
              <w:t>分、及格</w:t>
            </w:r>
            <w:r>
              <w:rPr>
                <w:rFonts w:hint="eastAsia" w:ascii="Calibri" w:hAnsi="Calibri" w:eastAsia="宋体" w:cs="Times New Roman"/>
                <w:color w:val="000000"/>
                <w:kern w:val="0"/>
                <w:sz w:val="22"/>
                <w:szCs w:val="22"/>
                <w:lang w:val="en-US" w:eastAsia="zh-CN"/>
              </w:rPr>
              <w:t>12</w:t>
            </w:r>
            <w:r>
              <w:rPr>
                <w:rFonts w:hint="eastAsia" w:ascii="Calibri" w:hAnsi="Calibri" w:eastAsia="宋体" w:cs="Times New Roman"/>
                <w:color w:val="000000"/>
                <w:kern w:val="0"/>
                <w:sz w:val="22"/>
                <w:szCs w:val="22"/>
              </w:rPr>
              <w:t>分、不及格0分</w:t>
            </w:r>
          </w:p>
        </w:tc>
        <w:tc>
          <w:tcPr>
            <w:tcW w:w="566" w:type="dxa"/>
            <w:shd w:val="clear" w:color="auto" w:fill="FFFFFF"/>
            <w:noWrap w:val="0"/>
            <w:vAlign w:val="center"/>
          </w:tcPr>
          <w:p w14:paraId="600E5F64">
            <w:pPr>
              <w:widowControl/>
              <w:spacing w:line="0" w:lineRule="atLeast"/>
              <w:jc w:val="center"/>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18</w:t>
            </w:r>
          </w:p>
        </w:tc>
      </w:tr>
      <w:tr w14:paraId="2B869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90" w:type="dxa"/>
            <w:vMerge w:val="continue"/>
            <w:shd w:val="clear" w:color="auto" w:fill="FFFFFF"/>
            <w:noWrap w:val="0"/>
            <w:vAlign w:val="center"/>
          </w:tcPr>
          <w:p w14:paraId="3BBBBBB5">
            <w:pPr>
              <w:widowControl/>
              <w:spacing w:line="0" w:lineRule="atLeast"/>
              <w:jc w:val="center"/>
              <w:rPr>
                <w:rFonts w:ascii="Calibri" w:hAnsi="Calibri" w:eastAsia="宋体" w:cs="Times New Roman"/>
                <w:color w:val="000000"/>
                <w:kern w:val="0"/>
                <w:sz w:val="22"/>
                <w:szCs w:val="22"/>
              </w:rPr>
            </w:pPr>
          </w:p>
        </w:tc>
        <w:tc>
          <w:tcPr>
            <w:tcW w:w="705" w:type="dxa"/>
            <w:vMerge w:val="continue"/>
            <w:shd w:val="clear" w:color="auto" w:fill="FFFFFF"/>
            <w:noWrap w:val="0"/>
            <w:vAlign w:val="center"/>
          </w:tcPr>
          <w:p w14:paraId="2D6E0D11">
            <w:pPr>
              <w:widowControl/>
              <w:spacing w:line="0" w:lineRule="atLeast"/>
              <w:jc w:val="center"/>
              <w:rPr>
                <w:rFonts w:ascii="Calibri" w:hAnsi="Calibri" w:eastAsia="宋体" w:cs="Times New Roman"/>
                <w:color w:val="000000"/>
                <w:kern w:val="0"/>
                <w:sz w:val="22"/>
                <w:szCs w:val="22"/>
              </w:rPr>
            </w:pPr>
          </w:p>
        </w:tc>
        <w:tc>
          <w:tcPr>
            <w:tcW w:w="1140" w:type="dxa"/>
            <w:shd w:val="clear" w:color="auto" w:fill="FFFFFF"/>
            <w:noWrap w:val="0"/>
            <w:vAlign w:val="center"/>
          </w:tcPr>
          <w:p w14:paraId="2F3FAE55">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满意度</w:t>
            </w:r>
          </w:p>
        </w:tc>
        <w:tc>
          <w:tcPr>
            <w:tcW w:w="600" w:type="dxa"/>
            <w:shd w:val="clear" w:color="auto" w:fill="FFFFFF"/>
            <w:noWrap w:val="0"/>
            <w:vAlign w:val="center"/>
          </w:tcPr>
          <w:p w14:paraId="54E15847">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8</w:t>
            </w:r>
          </w:p>
        </w:tc>
        <w:tc>
          <w:tcPr>
            <w:tcW w:w="2265" w:type="dxa"/>
            <w:shd w:val="clear" w:color="auto" w:fill="FFFFFF"/>
            <w:noWrap w:val="0"/>
            <w:vAlign w:val="center"/>
          </w:tcPr>
          <w:p w14:paraId="1E61F17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社会公众或服务对象对项目实施效果的满意程度。</w:t>
            </w:r>
          </w:p>
        </w:tc>
        <w:tc>
          <w:tcPr>
            <w:tcW w:w="5715" w:type="dxa"/>
            <w:shd w:val="clear" w:color="auto" w:fill="FFFFFF"/>
            <w:noWrap w:val="0"/>
            <w:vAlign w:val="center"/>
          </w:tcPr>
          <w:p w14:paraId="74837E00">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社会公众或服务对象是指因该项目实施而受到影响的部门（单位）、群体或个人。一般采取社会调查的方式。</w:t>
            </w:r>
          </w:p>
        </w:tc>
        <w:tc>
          <w:tcPr>
            <w:tcW w:w="2013" w:type="dxa"/>
            <w:shd w:val="clear" w:color="auto" w:fill="FFFFFF"/>
            <w:noWrap w:val="0"/>
            <w:vAlign w:val="center"/>
          </w:tcPr>
          <w:p w14:paraId="7AE7A2A0">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lang w:eastAsia="zh-CN"/>
              </w:rPr>
              <w:t>服务对象</w:t>
            </w:r>
            <w:r>
              <w:rPr>
                <w:rFonts w:ascii="Calibri" w:hAnsi="Calibri" w:eastAsia="宋体" w:cs="Times New Roman"/>
                <w:color w:val="000000"/>
                <w:kern w:val="0"/>
                <w:sz w:val="22"/>
                <w:szCs w:val="22"/>
              </w:rPr>
              <w:t>满意度</w:t>
            </w:r>
            <w:r>
              <w:rPr>
                <w:rFonts w:hint="eastAsia" w:ascii="Calibri" w:hAnsi="Calibri" w:eastAsia="宋体" w:cs="Times New Roman"/>
                <w:color w:val="000000"/>
                <w:kern w:val="0"/>
                <w:sz w:val="22"/>
                <w:szCs w:val="22"/>
                <w:lang w:val="en-US" w:eastAsia="zh-CN"/>
              </w:rPr>
              <w:t>100%得8分，每减少5%扣1分扣完为止</w:t>
            </w:r>
          </w:p>
        </w:tc>
        <w:tc>
          <w:tcPr>
            <w:tcW w:w="566" w:type="dxa"/>
            <w:shd w:val="clear" w:color="auto" w:fill="FFFFFF"/>
            <w:noWrap w:val="0"/>
            <w:vAlign w:val="center"/>
          </w:tcPr>
          <w:p w14:paraId="549BB4E3">
            <w:pPr>
              <w:widowControl/>
              <w:spacing w:line="0" w:lineRule="atLeast"/>
              <w:jc w:val="center"/>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8</w:t>
            </w:r>
          </w:p>
        </w:tc>
      </w:tr>
      <w:tr w14:paraId="2E8CB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35" w:type="dxa"/>
            <w:gridSpan w:val="3"/>
            <w:shd w:val="clear" w:color="auto" w:fill="FFFFFF"/>
            <w:noWrap w:val="0"/>
            <w:vAlign w:val="center"/>
          </w:tcPr>
          <w:p w14:paraId="51823359">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总分</w:t>
            </w:r>
          </w:p>
        </w:tc>
        <w:tc>
          <w:tcPr>
            <w:tcW w:w="600" w:type="dxa"/>
            <w:shd w:val="clear" w:color="auto" w:fill="FFFFFF"/>
            <w:noWrap w:val="0"/>
            <w:vAlign w:val="center"/>
          </w:tcPr>
          <w:p w14:paraId="5E062AB9">
            <w:pPr>
              <w:widowControl/>
              <w:spacing w:line="0" w:lineRule="atLeast"/>
              <w:jc w:val="center"/>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100</w:t>
            </w:r>
          </w:p>
        </w:tc>
        <w:tc>
          <w:tcPr>
            <w:tcW w:w="2265" w:type="dxa"/>
            <w:shd w:val="clear" w:color="auto" w:fill="FFFFFF"/>
            <w:noWrap w:val="0"/>
            <w:vAlign w:val="center"/>
          </w:tcPr>
          <w:p w14:paraId="1E4E72FE">
            <w:pPr>
              <w:widowControl/>
              <w:spacing w:line="0" w:lineRule="atLeast"/>
              <w:jc w:val="center"/>
              <w:rPr>
                <w:rFonts w:ascii="Calibri" w:hAnsi="Calibri" w:eastAsia="宋体" w:cs="Times New Roman"/>
                <w:color w:val="000000"/>
                <w:kern w:val="0"/>
                <w:sz w:val="22"/>
                <w:szCs w:val="22"/>
              </w:rPr>
            </w:pPr>
          </w:p>
        </w:tc>
        <w:tc>
          <w:tcPr>
            <w:tcW w:w="5715" w:type="dxa"/>
            <w:shd w:val="clear" w:color="auto" w:fill="FFFFFF"/>
            <w:noWrap w:val="0"/>
            <w:vAlign w:val="center"/>
          </w:tcPr>
          <w:p w14:paraId="4BCC26EA">
            <w:pPr>
              <w:widowControl/>
              <w:spacing w:line="0" w:lineRule="atLeast"/>
              <w:jc w:val="center"/>
              <w:rPr>
                <w:rFonts w:ascii="Calibri" w:hAnsi="Calibri" w:eastAsia="宋体" w:cs="Times New Roman"/>
                <w:color w:val="000000"/>
                <w:kern w:val="0"/>
                <w:sz w:val="22"/>
                <w:szCs w:val="22"/>
              </w:rPr>
            </w:pPr>
          </w:p>
        </w:tc>
        <w:tc>
          <w:tcPr>
            <w:tcW w:w="2013" w:type="dxa"/>
            <w:shd w:val="clear" w:color="auto" w:fill="FFFFFF"/>
            <w:noWrap w:val="0"/>
            <w:vAlign w:val="center"/>
          </w:tcPr>
          <w:p w14:paraId="6B1ADF32">
            <w:pPr>
              <w:widowControl/>
              <w:spacing w:line="0" w:lineRule="atLeast"/>
              <w:jc w:val="center"/>
              <w:rPr>
                <w:rFonts w:hint="eastAsia" w:ascii="Calibri" w:hAnsi="Calibri" w:eastAsia="宋体" w:cs="Times New Roman"/>
                <w:color w:val="000000"/>
                <w:kern w:val="0"/>
                <w:sz w:val="22"/>
                <w:szCs w:val="22"/>
              </w:rPr>
            </w:pPr>
          </w:p>
        </w:tc>
        <w:tc>
          <w:tcPr>
            <w:tcW w:w="566" w:type="dxa"/>
            <w:shd w:val="clear" w:color="auto" w:fill="FFFFFF"/>
            <w:noWrap w:val="0"/>
            <w:vAlign w:val="center"/>
          </w:tcPr>
          <w:p w14:paraId="465785FE">
            <w:pPr>
              <w:widowControl/>
              <w:spacing w:line="0" w:lineRule="atLeast"/>
              <w:jc w:val="center"/>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92</w:t>
            </w:r>
          </w:p>
        </w:tc>
      </w:tr>
    </w:tbl>
    <w:p w14:paraId="521AC421">
      <w:pPr>
        <w:widowControl/>
        <w:spacing w:line="0" w:lineRule="atLeast"/>
        <w:jc w:val="center"/>
        <w:rPr>
          <w:rFonts w:eastAsia="仿宋_GB2312"/>
          <w:bCs/>
          <w:color w:val="000000"/>
          <w:kern w:val="0"/>
          <w:sz w:val="32"/>
          <w:szCs w:val="32"/>
        </w:rPr>
      </w:pPr>
      <w:r>
        <w:rPr>
          <w:rFonts w:ascii="Calibri" w:hAnsi="Calibri" w:eastAsia="宋体" w:cs="Times New Roman"/>
          <w:color w:val="000000"/>
          <w:kern w:val="0"/>
          <w:sz w:val="22"/>
          <w:szCs w:val="22"/>
        </w:rPr>
        <w:t>注：单位可以根据专项资金的管理要求和绩效要求增设个性指标。</w:t>
      </w:r>
    </w:p>
    <w:p w14:paraId="37C201A7">
      <w:pPr>
        <w:tabs>
          <w:tab w:val="left" w:pos="1503"/>
        </w:tabs>
        <w:bidi w:val="0"/>
        <w:jc w:val="left"/>
        <w:rPr>
          <w:rFonts w:ascii="Times New Roman" w:hAnsi="Times New Roman" w:eastAsia="宋体" w:cs="Times New Roman"/>
          <w:kern w:val="2"/>
          <w:sz w:val="21"/>
          <w:szCs w:val="24"/>
          <w:lang w:val="en-US" w:eastAsia="zh-CN" w:bidi="ar-SA"/>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B3D17">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75A01F">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575A01F">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2NTYzMmRhMzQ1NTQ4ZDY5NGQ5ODM0NmFhODQxNjIifQ=="/>
  </w:docVars>
  <w:rsids>
    <w:rsidRoot w:val="288C3BE6"/>
    <w:rsid w:val="18656BBE"/>
    <w:rsid w:val="1EDB73F0"/>
    <w:rsid w:val="20BC2A31"/>
    <w:rsid w:val="288C3BE6"/>
    <w:rsid w:val="528F2B00"/>
    <w:rsid w:val="6EA11428"/>
    <w:rsid w:val="72EC0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6"/>
    </w:pPr>
    <w:rPr>
      <w:rFonts w:ascii="黑体" w:eastAsia="黑体"/>
      <w:sz w:val="32"/>
    </w:rPr>
  </w:style>
  <w:style w:type="paragraph" w:styleId="4">
    <w:name w:val="Normal Indent"/>
    <w:basedOn w:val="1"/>
    <w:qFormat/>
    <w:uiPriority w:val="0"/>
    <w:pPr>
      <w:ind w:firstLine="420" w:firstLineChars="200"/>
    </w:pPr>
    <w:rPr>
      <w:rFonts w:ascii="Calibri" w:hAnsi="Calibri" w:eastAsia="仿宋" w:cs="Times New Roman"/>
      <w:sz w:val="32"/>
    </w:rPr>
  </w:style>
  <w:style w:type="paragraph" w:styleId="6">
    <w:name w:val="footer"/>
    <w:basedOn w:val="1"/>
    <w:unhideWhenUsed/>
    <w:qFormat/>
    <w:uiPriority w:val="0"/>
    <w:pPr>
      <w:tabs>
        <w:tab w:val="center" w:pos="4153"/>
        <w:tab w:val="right" w:pos="8306"/>
      </w:tabs>
      <w:snapToGrid w:val="0"/>
      <w:jc w:val="left"/>
    </w:pPr>
    <w:rPr>
      <w:kern w:val="0"/>
      <w:sz w:val="18"/>
      <w:szCs w:val="18"/>
    </w:rPr>
  </w:style>
  <w:style w:type="paragraph" w:styleId="7">
    <w:name w:val="Normal (Web)"/>
    <w:basedOn w:val="1"/>
    <w:qFormat/>
    <w:uiPriority w:val="0"/>
    <w:pPr>
      <w:widowControl/>
      <w:spacing w:before="100" w:beforeAutospacing="1" w:after="119"/>
      <w:jc w:val="left"/>
    </w:pPr>
    <w:rPr>
      <w:rFonts w:ascii="宋体" w:hAnsi="宋体" w:cs="宋体"/>
      <w:kern w:val="0"/>
      <w:sz w:val="24"/>
    </w:rPr>
  </w:style>
  <w:style w:type="character" w:styleId="10">
    <w:name w:val="Strong"/>
    <w:qFormat/>
    <w:uiPriority w:val="22"/>
    <w:rPr>
      <w:b/>
    </w:rPr>
  </w:style>
  <w:style w:type="paragraph" w:customStyle="1" w:styleId="11">
    <w:name w:val="_Style 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7430</Words>
  <Characters>7970</Characters>
  <Lines>0</Lines>
  <Paragraphs>0</Paragraphs>
  <TotalTime>21</TotalTime>
  <ScaleCrop>false</ScaleCrop>
  <LinksUpToDate>false</LinksUpToDate>
  <CharactersWithSpaces>8046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2023-07-10T02:13:00Z</dcterms:created>
  <dc:creator>Administrator</dc:creator>
  <cp:lastModifiedBy>yan+</cp:lastModifiedBy>
  <dcterms:modified xsi:type="dcterms:W3CDTF">2026-07-04T05:55:46Z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BA83740857834F5098082217628EA810_13</vt:lpwstr>
  </property>
  <property fmtid="{D5CDD505-2E9C-101B-9397-08002B2CF9AE}" pid="4" name="KSOTemplateDocerSaveRecord">
    <vt:lpwstr>eyJoZGlkIjoiYWJhYjg0NzVkMTdmNDNhNjVjMjE5ZDgwMjIzZGU3MWMiLCJ1c2VySWQiOiI0Njc5OTE2MjYifQ==</vt:lpwstr>
  </property>
</Properties>
</file>